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April 11, 2025</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333-278829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POST-EFFECTIVE AMENDMENT NO. 1 TO FORM S-1</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ON FORM S-3</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tbl>
      <w:tblPr>
        <w:tblLayout w:type="fixed"/>
        <w:tblInd w:w="208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20" w:type="dxa"/>
            <w:vAlign w:val="bottom"/>
            <w:gridSpan w:val="2"/>
          </w:tcPr>
          <w:p>
            <w:pPr>
              <w:jc w:val="center"/>
              <w:ind w:right="2217"/>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w w:val="99"/>
              </w:rPr>
              <w:t>UNDER</w:t>
            </w:r>
          </w:p>
        </w:tc>
      </w:tr>
      <w:tr>
        <w:trPr>
          <w:trHeight w:val="262"/>
        </w:trPr>
        <w:tc>
          <w:tcPr>
            <w:tcW w:w="1800" w:type="dxa"/>
            <w:vAlign w:val="bottom"/>
          </w:tcPr>
          <w:p>
            <w:pPr>
              <w:spacing w:after="0"/>
              <w:rPr>
                <w:sz w:val="22"/>
                <w:szCs w:val="22"/>
                <w:color w:val="auto"/>
              </w:rPr>
            </w:pPr>
          </w:p>
        </w:tc>
        <w:tc>
          <w:tcPr>
            <w:tcW w:w="5200" w:type="dxa"/>
            <w:vAlign w:val="bottom"/>
            <w:gridSpan w:val="3"/>
          </w:tcPr>
          <w:p>
            <w:pPr>
              <w:jc w:val="center"/>
              <w:ind w:right="1637"/>
              <w:spacing w:after="0"/>
              <w:rPr>
                <w:sz w:val="20"/>
                <w:szCs w:val="20"/>
                <w:color w:val="auto"/>
              </w:rPr>
            </w:pPr>
            <w:r>
              <w:rPr>
                <w:rFonts w:ascii="Times New Roman" w:cs="Times New Roman" w:eastAsia="Times New Roman" w:hAnsi="Times New Roman"/>
                <w:sz w:val="20"/>
                <w:szCs w:val="20"/>
                <w:b w:val="1"/>
                <w:bCs w:val="1"/>
                <w:i w:val="1"/>
                <w:iCs w:val="1"/>
                <w:color w:val="auto"/>
                <w:w w:val="98"/>
              </w:rPr>
              <w:t>THE SECURITIES ACT OF 1933</w:t>
            </w:r>
          </w:p>
        </w:tc>
      </w:tr>
      <w:tr>
        <w:trPr>
          <w:trHeight w:val="183"/>
        </w:trPr>
        <w:tc>
          <w:tcPr>
            <w:tcW w:w="1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2300" w:type="dxa"/>
            <w:vAlign w:val="bottom"/>
          </w:tcPr>
          <w:p>
            <w:pPr>
              <w:spacing w:after="0"/>
              <w:rPr>
                <w:sz w:val="15"/>
                <w:szCs w:val="15"/>
                <w:color w:val="auto"/>
              </w:rPr>
            </w:pPr>
          </w:p>
        </w:tc>
      </w:tr>
      <w:tr>
        <w:trPr>
          <w:trHeight w:val="468"/>
        </w:trPr>
        <w:tc>
          <w:tcPr>
            <w:tcW w:w="1800" w:type="dxa"/>
            <w:vAlign w:val="bottom"/>
          </w:tcPr>
          <w:p>
            <w:pPr>
              <w:spacing w:after="0"/>
              <w:rPr>
                <w:sz w:val="24"/>
                <w:szCs w:val="24"/>
                <w:color w:val="auto"/>
              </w:rPr>
            </w:pPr>
          </w:p>
        </w:tc>
        <w:tc>
          <w:tcPr>
            <w:tcW w:w="5200" w:type="dxa"/>
            <w:vAlign w:val="bottom"/>
            <w:gridSpan w:val="3"/>
          </w:tcPr>
          <w:p>
            <w:pPr>
              <w:jc w:val="center"/>
              <w:ind w:right="1637"/>
              <w:spacing w:after="0"/>
              <w:rPr>
                <w:sz w:val="20"/>
                <w:szCs w:val="20"/>
                <w:color w:val="auto"/>
              </w:rPr>
            </w:pPr>
            <w:r>
              <w:rPr>
                <w:rFonts w:ascii="Times New Roman" w:cs="Times New Roman" w:eastAsia="Times New Roman" w:hAnsi="Times New Roman"/>
                <w:sz w:val="40"/>
                <w:szCs w:val="40"/>
                <w:b w:val="1"/>
                <w:bCs w:val="1"/>
                <w:color w:val="auto"/>
                <w:w w:val="99"/>
              </w:rPr>
              <w:t>Q32 BIO INC.</w:t>
            </w:r>
          </w:p>
        </w:tc>
      </w:tr>
      <w:tr>
        <w:trPr>
          <w:trHeight w:val="190"/>
        </w:trPr>
        <w:tc>
          <w:tcPr>
            <w:tcW w:w="1800" w:type="dxa"/>
            <w:vAlign w:val="bottom"/>
          </w:tcPr>
          <w:p>
            <w:pPr>
              <w:spacing w:after="0"/>
              <w:rPr>
                <w:sz w:val="16"/>
                <w:szCs w:val="16"/>
                <w:color w:val="auto"/>
              </w:rPr>
            </w:pPr>
          </w:p>
        </w:tc>
        <w:tc>
          <w:tcPr>
            <w:tcW w:w="5200" w:type="dxa"/>
            <w:vAlign w:val="bottom"/>
            <w:gridSpan w:val="3"/>
          </w:tcPr>
          <w:p>
            <w:pPr>
              <w:jc w:val="center"/>
              <w:ind w:right="1637"/>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58"/>
        </w:trPr>
        <w:tc>
          <w:tcPr>
            <w:tcW w:w="1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2300" w:type="dxa"/>
            <w:vAlign w:val="bottom"/>
          </w:tcPr>
          <w:p>
            <w:pPr>
              <w:spacing w:after="0"/>
              <w:rPr>
                <w:sz w:val="13"/>
                <w:szCs w:val="13"/>
                <w:color w:val="auto"/>
              </w:rPr>
            </w:pPr>
          </w:p>
        </w:tc>
      </w:tr>
      <w:tr>
        <w:trPr>
          <w:trHeight w:val="230"/>
        </w:trPr>
        <w:tc>
          <w:tcPr>
            <w:tcW w:w="18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00" w:type="dxa"/>
            <w:vAlign w:val="bottom"/>
            <w:gridSpan w:val="3"/>
          </w:tcPr>
          <w:p>
            <w:pPr>
              <w:jc w:val="center"/>
              <w:ind w:left="3850"/>
              <w:spacing w:after="0"/>
              <w:rPr>
                <w:sz w:val="20"/>
                <w:szCs w:val="20"/>
                <w:color w:val="auto"/>
              </w:rPr>
            </w:pPr>
            <w:r>
              <w:rPr>
                <w:rFonts w:ascii="Times New Roman" w:cs="Times New Roman" w:eastAsia="Times New Roman" w:hAnsi="Times New Roman"/>
                <w:sz w:val="14"/>
                <w:szCs w:val="14"/>
                <w:b w:val="1"/>
                <w:bCs w:val="1"/>
                <w:color w:val="auto"/>
              </w:rPr>
              <w:t>47-3468154</w:t>
            </w:r>
          </w:p>
        </w:tc>
      </w:tr>
      <w:tr>
        <w:trPr>
          <w:trHeight w:val="135"/>
        </w:trPr>
        <w:tc>
          <w:tcPr>
            <w:tcW w:w="1800" w:type="dxa"/>
            <w:vAlign w:val="bottom"/>
          </w:tcPr>
          <w:p>
            <w:pPr>
              <w:jc w:val="center"/>
              <w:ind w:right="94"/>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5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300" w:type="dxa"/>
            <w:vAlign w:val="bottom"/>
          </w:tcPr>
          <w:p>
            <w:pPr>
              <w:jc w:val="center"/>
              <w:ind w:left="9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80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00" w:type="dxa"/>
            <w:vAlign w:val="bottom"/>
          </w:tcPr>
          <w:p>
            <w:pPr>
              <w:jc w:val="center"/>
              <w:ind w:left="997"/>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830 Winter Street</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Waltham, MA 02451</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(781) 999-0232</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Jodie Morrison</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Q32 Bio Inc.</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830 Winter Street</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Waltham, MA 02451</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(781) 999-0232</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Sarah Ashfaq, Esq.</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Jacqueline Mercier, Esq.</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Alicia M. Tschirhart, Esq.</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Goodwin Procter LLP</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100 Northern Avenue</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Boston, MA 02210</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29"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83" w:lineRule="exact"/>
        <w:rPr>
          <w:sz w:val="24"/>
          <w:szCs w:val="24"/>
          <w:color w:val="auto"/>
        </w:rPr>
      </w:pPr>
    </w:p>
    <w:p>
      <w:pPr>
        <w:ind w:left="120" w:right="30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3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36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2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8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26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42"/>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4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 w:lineRule="exact"/>
        <w:rPr>
          <w:sz w:val="24"/>
          <w:szCs w:val="24"/>
          <w:color w:val="auto"/>
        </w:rPr>
      </w:pPr>
    </w:p>
    <w:p>
      <w:pPr>
        <w:ind w:left="120" w:right="3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95885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3" w:lineRule="exact"/>
        <w:rPr>
          <w:sz w:val="24"/>
          <w:szCs w:val="24"/>
          <w:color w:val="auto"/>
        </w:rPr>
      </w:pPr>
    </w:p>
    <w:p>
      <w:pPr>
        <w:ind w:left="120" w:right="28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April 19, 2024, Q32 Bio Inc., or the Company, filed a registration statement with the U.S. Securities and Exchange Commission, or the SEC, on Form S-1 (File No. 333-278829), or the Registration Statement. The Registration Statement was initially declared effective by the SEC on April 29, 2024 and registered the offer and sale from time to time by the selling stockholders (including their transferees, donees, assignees, pledgees and other successors-in-interest) named in this prospectus of up to an aggregate of 1,682,045 shares of common stock, par value $0.0001 per share, of the Company, or the common stock.</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This Post-Effective Amendment No. 1 to Form S-1 on Form S-3, or the Post-Effective Amendment No. 1, is being filed by the Company to convert the registration statement on Form S-1 into a registration statement on Form S-3.</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Post-Effective Amendment No. 1 amends the Registration Statement and the prospectus contained therein. No additional securities are being registered under this Post-Effective Amendment No. 1. All applicable fees were paid at the time of the original filing of the Registration Statement on April 19, 2024.</w:t>
      </w:r>
    </w:p>
    <w:p>
      <w:pPr>
        <w:sectPr>
          <w:pgSz w:w="11900" w:h="16838" w:orient="portrait"/>
          <w:cols w:equalWidth="0" w:num="1">
            <w:col w:w="10980"/>
          </w:cols>
          <w:pgMar w:left="320" w:top="455" w:right="5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0240"/>
          </w:cols>
          <w:pgMar w:left="320" w:top="455" w:right="1339" w:bottom="1440" w:gutter="0" w:footer="0" w:header="0"/>
        </w:sectPr>
      </w:pPr>
    </w:p>
    <w:p>
      <w:pPr>
        <w:spacing w:after="0" w:line="200" w:lineRule="exact"/>
        <w:rPr>
          <w:sz w:val="20"/>
          <w:szCs w:val="20"/>
          <w:color w:val="auto"/>
        </w:rPr>
      </w:pPr>
    </w:p>
    <w:p>
      <w:pPr>
        <w:spacing w:after="0" w:line="368" w:lineRule="exact"/>
        <w:rPr>
          <w:sz w:val="20"/>
          <w:szCs w:val="20"/>
          <w:color w:val="auto"/>
        </w:rPr>
      </w:pPr>
    </w:p>
    <w:tbl>
      <w:tblPr>
        <w:tblLayout w:type="fixed"/>
        <w:tblInd w:w="120" w:type="dxa"/>
        <w:tblCellMar>
          <w:top w:w="0" w:type="dxa"/>
          <w:left w:w="0" w:type="dxa"/>
          <w:bottom w:w="0" w:type="dxa"/>
          <w:right w:w="0" w:type="dxa"/>
        </w:tblCellMar>
      </w:tblPr>
      <w:tr>
        <w:trPr>
          <w:trHeight w:val="883"/>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7"/>
              </w:rPr>
              <w:t>securities</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9"/>
              </w:rPr>
              <w:t>to sell these</w:t>
            </w:r>
          </w:p>
        </w:tc>
      </w:tr>
      <w:tr>
        <w:trPr>
          <w:trHeight w:val="1109"/>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may sell these</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rPr>
              <w:t>is not an offer</w:t>
            </w:r>
          </w:p>
        </w:tc>
      </w:tr>
      <w:tr>
        <w:trPr>
          <w:trHeight w:val="9511"/>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The information in this preliminary prospectus is not complete and may be changed. Neither we nor the selling stockholders</w:t>
            </w:r>
          </w:p>
        </w:tc>
        <w:tc>
          <w:tcPr>
            <w:tcW w:w="420" w:type="dxa"/>
            <w:vAlign w:val="bottom"/>
            <w:textDirection w:val="btLr"/>
          </w:tcPr>
          <w:p>
            <w:pPr>
              <w:ind w:left="271"/>
              <w:spacing w:after="0"/>
              <w:rPr>
                <w:sz w:val="20"/>
                <w:szCs w:val="20"/>
                <w:color w:val="auto"/>
              </w:rPr>
            </w:pPr>
            <w:r>
              <w:rPr>
                <w:rFonts w:ascii="Times New Roman" w:cs="Times New Roman" w:eastAsia="Times New Roman" w:hAnsi="Times New Roman"/>
                <w:sz w:val="13"/>
                <w:szCs w:val="13"/>
                <w:b w:val="1"/>
                <w:bCs w:val="1"/>
                <w:color w:val="FF4338"/>
                <w:w w:val="74"/>
              </w:rPr>
              <w:t>until the registration statement filed with the Securities and Exchange Commission is effective. This preliminary prospectussecuritiesandisnotsolicitinganoffertobuythesesecuritiesinanyjurisdictionwheretheofferorsaleisnotpermitted.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FF4338"/>
        </w:rPr>
        <w:t>SUBJECT TO COMPLETION, DATED APRIL 11,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173990</wp:posOffset>
            </wp:positionV>
            <wp:extent cx="123444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5"/>
          <w:szCs w:val="25"/>
          <w:b w:val="1"/>
          <w:bCs w:val="1"/>
          <w:color w:val="auto"/>
        </w:rPr>
        <w:t>Up to 1,682,045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247015</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right="200" w:firstLine="371"/>
        <w:spacing w:after="0" w:line="282" w:lineRule="auto"/>
        <w:rPr>
          <w:sz w:val="20"/>
          <w:szCs w:val="20"/>
          <w:color w:val="auto"/>
        </w:rPr>
      </w:pPr>
      <w:r>
        <w:rPr>
          <w:rFonts w:ascii="Times New Roman" w:cs="Times New Roman" w:eastAsia="Times New Roman" w:hAnsi="Times New Roman"/>
          <w:sz w:val="18"/>
          <w:szCs w:val="18"/>
          <w:color w:val="auto"/>
        </w:rPr>
        <w:t>This prospectus relates to the proposed offer and resale or other disposition from time to time by the selling stockholders identified in this prospectus of up to an aggregate of 1,682,045 shares of common stock.</w:t>
      </w:r>
    </w:p>
    <w:p>
      <w:pPr>
        <w:spacing w:after="0" w:line="162" w:lineRule="exact"/>
        <w:rPr>
          <w:sz w:val="20"/>
          <w:szCs w:val="20"/>
          <w:color w:val="auto"/>
        </w:rPr>
      </w:pPr>
    </w:p>
    <w:p>
      <w:pPr>
        <w:ind w:right="20" w:firstLine="371"/>
        <w:spacing w:after="0" w:line="254" w:lineRule="auto"/>
        <w:rPr>
          <w:sz w:val="20"/>
          <w:szCs w:val="20"/>
          <w:color w:val="auto"/>
        </w:rPr>
      </w:pPr>
      <w:r>
        <w:rPr>
          <w:rFonts w:ascii="Times New Roman" w:cs="Times New Roman" w:eastAsia="Times New Roman" w:hAnsi="Times New Roman"/>
          <w:sz w:val="18"/>
          <w:szCs w:val="18"/>
          <w:color w:val="auto"/>
        </w:rPr>
        <w:t>We are registering the resale of the shares of common stock pursuant to the selling stockholders’ registration rights under a registration rights agreement between us and the selling stockholders. Our registration of the resale of the shares of common stock covered by this prospectus does not mean that the selling stockholders will offer or sell all or any of the shares of common stock. The selling stockholders may offer, sell or distribute all or a portion of their shares of common stock from time to time directly or indirectly through one or more underwriters, broker-dealers or agents, and in one or more public or private transactions.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w:t>
      </w:r>
    </w:p>
    <w:p>
      <w:pPr>
        <w:spacing w:after="0" w:line="188" w:lineRule="exact"/>
        <w:rPr>
          <w:sz w:val="20"/>
          <w:szCs w:val="20"/>
          <w:color w:val="auto"/>
        </w:rPr>
      </w:pPr>
    </w:p>
    <w:p>
      <w:pPr>
        <w:ind w:right="160" w:firstLine="371"/>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any sale of common stock by the selling stockholders pursuant to this prospectus. We have agreed to bear the expenses in connection with the registration of the resale of the shares of common stock to be offered by this prospectus by the selling stockholders other than any underwriting discounts and commissions or transfer taxes relating to the sale of common stock, which will be borne by the selling stockholders.</w:t>
      </w:r>
    </w:p>
    <w:p>
      <w:pPr>
        <w:spacing w:after="0" w:line="180" w:lineRule="exact"/>
        <w:rPr>
          <w:sz w:val="20"/>
          <w:szCs w:val="20"/>
          <w:color w:val="auto"/>
        </w:rPr>
      </w:pPr>
    </w:p>
    <w:p>
      <w:pPr>
        <w:ind w:right="140" w:firstLine="371"/>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or Nasdaq, under the symbol “QTTB.” On April 10, 2025, the closing price for our common stock, as reported on Nasdaq, was $1.68 per share.</w:t>
      </w:r>
    </w:p>
    <w:p>
      <w:pPr>
        <w:spacing w:after="0" w:line="162" w:lineRule="exact"/>
        <w:rPr>
          <w:sz w:val="20"/>
          <w:szCs w:val="20"/>
          <w:color w:val="auto"/>
        </w:rPr>
      </w:pPr>
    </w:p>
    <w:p>
      <w:pPr>
        <w:ind w:firstLine="371"/>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are a smaller reporting company as defined under Rule 405 of the Securities Act of 1933, as amended, or the Securities Act, and, as such, are subject to certain reduced public company reporting requirements. See “Prospectus Summary—Implications of Being a Smaller Reporting Company” on page 5 of this prospectus.</w:t>
      </w:r>
    </w:p>
    <w:p>
      <w:pPr>
        <w:spacing w:after="0" w:line="163" w:lineRule="exact"/>
        <w:rPr>
          <w:sz w:val="20"/>
          <w:szCs w:val="20"/>
          <w:color w:val="auto"/>
        </w:rPr>
      </w:pPr>
    </w:p>
    <w:p>
      <w:pPr>
        <w:ind w:firstLine="371"/>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certain risks. See the section entitled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7 of this prospectus, in any applicable prospectus supplement and any related free writing prospectus, and in our SEC filings that are incorporated by reference herein. You should read the entire prospectus carefully before you make your investment decision.</w:t>
      </w:r>
    </w:p>
    <w:p>
      <w:pPr>
        <w:spacing w:after="0" w:line="181" w:lineRule="exact"/>
        <w:rPr>
          <w:sz w:val="20"/>
          <w:szCs w:val="20"/>
          <w:color w:val="auto"/>
        </w:rPr>
      </w:pPr>
    </w:p>
    <w:p>
      <w:pPr>
        <w:ind w:right="60" w:firstLine="371"/>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198120</wp:posOffset>
            </wp:positionV>
            <wp:extent cx="123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p>
      <w:pPr>
        <w:sectPr>
          <w:pgSz w:w="11900" w:h="16838" w:orient="portrait"/>
          <w:cols w:equalWidth="0" w:num="2">
            <w:col w:w="720" w:space="260"/>
            <w:col w:w="9260"/>
          </w:cols>
          <w:pgMar w:left="320" w:top="455" w:right="1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28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6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500" w:type="dxa"/>
            <w:vAlign w:val="bottom"/>
            <w:gridSpan w:val="2"/>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4"/>
          </w:tcPr>
          <w:p>
            <w:pPr>
              <w:spacing w:after="0"/>
              <w:rPr>
                <w:sz w:val="17"/>
                <w:szCs w:val="17"/>
                <w:color w:val="auto"/>
              </w:rPr>
            </w:pPr>
          </w:p>
        </w:tc>
        <w:tc>
          <w:tcPr>
            <w:tcW w:w="6200" w:type="dxa"/>
            <w:vAlign w:val="bottom"/>
            <w:gridSpan w:val="6"/>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8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700" w:type="dxa"/>
            <w:vAlign w:val="bottom"/>
            <w:gridSpan w:val="8"/>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58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00" w:type="dxa"/>
            <w:vAlign w:val="bottom"/>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240" w:type="dxa"/>
            <w:vAlign w:val="bottom"/>
            <w:gridSpan w:val="7"/>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760" w:type="dxa"/>
            <w:vAlign w:val="bottom"/>
            <w:shd w:val="clear" w:color="auto" w:fill="0000EE"/>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286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940" w:type="dxa"/>
            <w:vAlign w:val="bottom"/>
            <w:tcBorders>
              <w:top w:val="single" w:sz="8" w:color="0000EE"/>
            </w:tcBorders>
          </w:tcPr>
          <w:p>
            <w:pPr>
              <w:spacing w:after="0"/>
              <w:rPr>
                <w:sz w:val="17"/>
                <w:szCs w:val="17"/>
                <w:color w:val="auto"/>
              </w:rPr>
            </w:pPr>
          </w:p>
        </w:tc>
        <w:tc>
          <w:tcPr>
            <w:tcW w:w="4480" w:type="dxa"/>
            <w:vAlign w:val="bottom"/>
            <w:gridSpan w:val="3"/>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registration process, the selling stockholders identified in this prospectus under the caption “Selling Stockholders” may, from time to time, sell up to an aggregate of 1,682,045 shares of common stock described in this prospectus, in one or more offerings. We are not selling any shares of common stock under this prospectus, and we will not receive any proceeds from the sale of shares of common stock offered hereby by the selling stockholders.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provided in this prospectus as well as the information incorporated by reference herein and any applicable prospectus supplement or amendment. 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 or incorporated by reference herein as described under the heading “Incorporation of Certain Information by Reference.”</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“Company,” “we,” “our” and “us” refer, collectively to Q32 Bio Inc., a Delaware corporation, and its consolidated subsidiaries (including Legacy Q32 (as defined herein)).</w:t>
      </w:r>
    </w:p>
    <w:p>
      <w:pPr>
        <w:spacing w:after="0" w:line="162" w:lineRule="exact"/>
        <w:rPr>
          <w:sz w:val="20"/>
          <w:szCs w:val="20"/>
          <w:color w:val="auto"/>
        </w:rPr>
      </w:pPr>
    </w:p>
    <w:p>
      <w:pPr>
        <w:jc w:val="both"/>
        <w:ind w:left="120" w:right="280" w:firstLine="440"/>
        <w:spacing w:after="0" w:line="230" w:lineRule="auto"/>
        <w:rPr>
          <w:sz w:val="20"/>
          <w:szCs w:val="20"/>
          <w:color w:val="auto"/>
        </w:rPr>
      </w:pPr>
      <w:r>
        <w:rPr>
          <w:rFonts w:ascii="Times New Roman" w:cs="Times New Roman" w:eastAsia="Times New Roman" w:hAnsi="Times New Roman"/>
          <w:sz w:val="18"/>
          <w:szCs w:val="18"/>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contains and/or incorporates by reference statements that are not historical facts and are considered forward-looking within the meaning of Section 27A of the Securities Act, and Section 21E of the Securities Exchange Act of 1934, as amended, or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 looking statements in this prospectus may include, for example, statements about:</w:t>
      </w:r>
    </w:p>
    <w:p>
      <w:pPr>
        <w:spacing w:after="0" w:line="97"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sustain profitability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prospects, plans, expectations or objectives of management for our future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and anticipated use of our existing cash, cash equivalents and marketable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scope or timing of the development of our product candidates;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surrounding the potential safety, efficacy, and regulatory and clinical progress of our product candidates, including bempikibart, and our anticipated milestones and timing therefor;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market acceptance and adoption of our product candidates;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that may be derived from any of our future products or the commercial or market opportunity with respect to any of our future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patent protection for our product candidates and protect our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against other companies developing similar products to ours;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operations, financial position, ability to raise capital to fund our operations, revenues, costs or expenses;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evaluate and execute on strategic options for our tissue-targeted complement inhibitor platform, inclusive of ADX-097 and early-stage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achieve cost savings in connection with the strategic restructuring plan, including the reduction in force;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key executives and to attract and retain highly qualified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protect against cyber-attacks, security breaches and other disruptions to our information technology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 effective system of internal controls over financial reporting;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uncertainties related to economic downturns, public health crises, and other macroeconomic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in the supply and manufacture of our product candidates;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applicable laws and regulations, whether in the U.S. or foreign jurisdictions, and any changes thereto;</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regarding our future economic conditions or performance, statements of belief and any statement of assumptions underlying any of the foregoing;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prospectus or the documents incorporated by reference herein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including those set forth in this prospectus in the section entitled “Risk Factors” and in our periodic filings with the SEC. Our SEC filings are available publicly on the SEC’s website at www.sec.gov. 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 Should one or more of the risks or uncertainties described in this prospectus, or should underlying assumptions prove incorrect, actual results and plans could differ materially from those expressed in any forward-looking statements.</w:t>
      </w:r>
    </w:p>
    <w:p>
      <w:pPr>
        <w:spacing w:after="0" w:line="19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Except as otherwise required by applicable law, we disclaim any duty to update any forward-looking statements, all of which are expressly qualified by the statements in this section, to reflect events or circumstances after the date of this prospectus. We qualify all of our forward-looking statements by these cautionary statements.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a clinical stage biotechnology company focused on developing novel biologics to effectively and safely restore healthy immune balance in patients with autoimmune and inflammatory diseases driven by pathological immune dysfunction. To achieve this goal of restoring homeostasis to a dysregulated immune system, we are advancing antibody-based therapeutic candidates designed to target two central pathways of adaptive and innate immunity. The adaptive immune system is largely composed of T- and B-cell mediated cellular and antibody responses; while the innate immune system is a first line of defense employing leukocytes such as monocytes, macrophages, neutrophils, dendritic cells and natural killer cells that are responsible for clearing pathogens and cellular debris, and modulating T- and B-cell function. We believe that targeting these key pathways of immune dysregulation in autoimmune and inflammatory diseases will deliver therapeutics for indications with clear unmet medical need in the near term, while enabling us to build a broad and diverse pipeline in the long term. We have multiple product candidates across a variety of autoimmune and inflammatory diseases.</w:t>
      </w:r>
    </w:p>
    <w:p>
      <w:pPr>
        <w:spacing w:after="0" w:line="188"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Bempikibart (ADX-914), our most advanced product candidate, is a fully human anti–interleukin-7 receptor alpha, or IL-7Rα, antagonist monoclonal antibody designed to re-regulate adaptive immune function by blocking signaling mediated by interleukin-7, or IL-7, and thymic stromal lymphopoietin, or TSLP. We have completed two Phase 2a clinical trials evaluating bempikibart: SIGNAL-AA for the treatment of alopecia areata, or AA, and SIGNAL-AD for the treatment of atopic dermatitis, or AD. We are focused on the advancement of bempikibart for the treatment in AA.</w:t>
      </w:r>
    </w:p>
    <w:p>
      <w:pPr>
        <w:spacing w:after="0" w:line="183"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ADX-097, a Phase 2 asset and the lead product candidate from our complement inhibitor platform, is a humanized anti-C3d monoclonal antibody, or mAb, fusion protein. ADX-097 is designed to restore complement regulation—an integral part of the innate immune system—through a tissue-targeted mechanism. ADX-097 is designed to inhibit alternative pathway complement activation locally in diseased tissues where complement-mediated pathology is actively manifest. We believe ADX-097 has the potential to drive improved clinical activity and address the limitations of the currently available systemic approaches to complement inhibition, including infection risk and the need for high drug doses and frequent administration, to achieve therapeutic levels of inhibition.</w:t>
      </w:r>
    </w:p>
    <w:p>
      <w:pPr>
        <w:spacing w:after="0" w:line="187"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Additional discovery and earlier development efforts from our complement inhibitor platform include ADX-096, a C3d mAb—CR1 fusion protein which demonstrated preclinical data supportive of its use in ophthalmologic indications, as well as other C3d mAb fusions and nanobodies designed for tissue-targeted complement inhibition.</w:t>
      </w:r>
    </w:p>
    <w:p>
      <w:pPr>
        <w:spacing w:after="0" w:line="176" w:lineRule="exact"/>
        <w:rPr>
          <w:sz w:val="20"/>
          <w:szCs w:val="20"/>
          <w:color w:val="auto"/>
        </w:rPr>
      </w:pPr>
    </w:p>
    <w:p>
      <w:pPr>
        <w:jc w:val="both"/>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In February 2025, we announced a corporate restructuring to focus on the advancement of bempikibart for the treatment of patients with AA. As part of the restructuring, we discontinued the Phase 2 renal basket clinical trial of ADX-097 and are evaluating strategic options for our tissue-targeted complement inhibitor platform, inclusive of ADX-097 and early-stage assets, to prioritize the clinical development of bempikibart.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April 10, 2017. Our principal executive office is located at 830 Winter Street, Waltham, Massachusetts 02451, and our telephone number is (781) 999-0232. Our website address is https://www.q32bio.com. We do not incorporate the information on or accessible through our website into this prospectus, and you should not consider any information on, or that can be accessed through, our website as part of this prospectus. Our common stock is listed on Nasdaq under the symbol “QTTB.”</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20" w:top="455"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430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2430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On March 25, 2024, Kenobi Merger Sub, Inc., or Merger Sub, a wholly-owned subsidiary of Homology Medicines, Inc., or Homology, completed its merger with and into Q32 Bio Operations Inc. (previously named Q32 Bio Inc. and referred to herein as Legacy Q32), with Legacy Q32 continuing as the surviving entity as a wholly-owned subsidiary of Homology. This transaction is referred to herein as the Merger. Homology changed its name to Q32 Bio Inc., and Legacy Q32, which remains as a wholly-owned subsidiary of ours, changed its name to Q32 Bio Operations, Inc. The Merger was effected pursuant to an Agreement and Plan of Merger, or the Merger Agreement, dated as of November 16, 2023, by and among Homology, Legacy Q32, and Merger Sub. Effective March 26, 2024, our common stock began trading on the Nasdaq Global Market under the trading symbol “QTTB.”</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a “smaller reporting company” as defined in the Exchange Act. We may take advantage of certain of the scaled disclosures available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smaller reporting companies and will be able to take advantage of these scaled disclosures for so long as the market value of the common stock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held by non-affiliates is less than $250.0 million measured on the last business day of our second fiscal quarter, or our annual revenue is less than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$100.0 million during the most recently completed fiscal year and the market value of the common stock held by non-affiliates is less than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$700.0 million measured on the last business day of our second fiscal quarter. As a result, the information in this prospectus and that we provide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investors in the future may be different than what you might receive from other public reporting companies.</w:t>
      </w: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1070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31070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800"/>
          </w:cols>
          <w:pgMar w:left="320" w:top="455" w:right="77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Q32 Bio Inc.</w:t>
      </w:r>
    </w:p>
    <w:p>
      <w:pPr>
        <w:spacing w:after="0" w:line="200" w:lineRule="exact"/>
        <w:rPr>
          <w:sz w:val="20"/>
          <w:szCs w:val="20"/>
          <w:color w:val="auto"/>
        </w:rPr>
      </w:pPr>
    </w:p>
    <w:p>
      <w:pPr>
        <w:sectPr>
          <w:pgSz w:w="11900" w:h="16838" w:orient="portrait"/>
          <w:cols w:equalWidth="0" w:num="2">
            <w:col w:w="3620" w:space="720"/>
            <w:col w:w="6460"/>
          </w:cols>
          <w:pgMar w:left="320" w:top="455" w:right="779" w:bottom="1440" w:gutter="0" w:footer="0" w:header="0"/>
          <w:type w:val="continuous"/>
        </w:sectPr>
      </w:pPr>
    </w:p>
    <w:p>
      <w:pPr>
        <w:spacing w:after="0" w:line="7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1,682,045 shares of common stock</w:t>
      </w:r>
    </w:p>
    <w:p>
      <w:pPr>
        <w:spacing w:after="0" w:line="200" w:lineRule="exact"/>
        <w:rPr>
          <w:sz w:val="20"/>
          <w:szCs w:val="20"/>
          <w:color w:val="auto"/>
        </w:rPr>
      </w:pPr>
    </w:p>
    <w:p>
      <w:pPr>
        <w:sectPr>
          <w:pgSz w:w="11900" w:h="16838" w:orient="portrait"/>
          <w:cols w:equalWidth="0" w:num="2">
            <w:col w:w="4020" w:space="320"/>
            <w:col w:w="6460"/>
          </w:cols>
          <w:pgMar w:left="320" w:top="455" w:right="77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covered by this prospectus. See the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appearing elsewhere in this prospectus for more information.</w:t>
      </w:r>
    </w:p>
    <w:p>
      <w:pPr>
        <w:spacing w:after="0" w:line="200" w:lineRule="exact"/>
        <w:rPr>
          <w:sz w:val="20"/>
          <w:szCs w:val="20"/>
          <w:color w:val="auto"/>
        </w:rPr>
      </w:pPr>
    </w:p>
    <w:p>
      <w:pPr>
        <w:sectPr>
          <w:pgSz w:w="11900" w:h="16838" w:orient="portrait"/>
          <w:cols w:equalWidth="0" w:num="2">
            <w:col w:w="3620" w:space="720"/>
            <w:col w:w="6460"/>
          </w:cols>
          <w:pgMar w:left="320" w:top="455" w:right="77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QTTB</w:t>
      </w:r>
    </w:p>
    <w:p>
      <w:pPr>
        <w:spacing w:after="0" w:line="200" w:lineRule="exact"/>
        <w:rPr>
          <w:sz w:val="20"/>
          <w:szCs w:val="20"/>
          <w:color w:val="auto"/>
        </w:rPr>
      </w:pPr>
    </w:p>
    <w:p>
      <w:pPr>
        <w:sectPr>
          <w:pgSz w:w="11900" w:h="16838" w:orient="portrait"/>
          <w:cols w:equalWidth="0" w:num="2">
            <w:col w:w="3620" w:space="720"/>
            <w:col w:w="6460"/>
          </w:cols>
          <w:pgMar w:left="320" w:top="455" w:right="77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Offering Price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selling stockholders will offer the shares of common stock offered by this prospectus at the prevailing market prices or at privately negotiated prices.</w:t>
      </w:r>
    </w:p>
    <w:p>
      <w:pPr>
        <w:spacing w:after="0" w:line="189" w:lineRule="exact"/>
        <w:rPr>
          <w:sz w:val="20"/>
          <w:szCs w:val="20"/>
          <w:color w:val="auto"/>
        </w:rPr>
      </w:pPr>
    </w:p>
    <w:p>
      <w:pPr>
        <w:sectPr>
          <w:pgSz w:w="11900" w:h="16838" w:orient="portrait"/>
          <w:cols w:equalWidth="0" w:num="2">
            <w:col w:w="3620" w:space="720"/>
            <w:col w:w="6460"/>
          </w:cols>
          <w:pgMar w:left="320" w:top="455" w:right="7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260"/>
        <w:spacing w:after="0" w:line="266" w:lineRule="auto"/>
        <w:rPr>
          <w:sz w:val="20"/>
          <w:szCs w:val="20"/>
          <w:color w:val="auto"/>
        </w:rPr>
      </w:pPr>
      <w:r>
        <w:rPr>
          <w:rFonts w:ascii="Times New Roman" w:cs="Times New Roman" w:eastAsia="Times New Roman" w:hAnsi="Times New Roman"/>
          <w:sz w:val="18"/>
          <w:szCs w:val="18"/>
          <w:color w:val="auto"/>
        </w:rPr>
        <w:t>You should read the “Risk Factors” section of this prospectus and other information included and incorporated by reference in this prospectus for a discussion of factors to consider carefully before deciding to invest in shares of our common stock.</w:t>
      </w:r>
    </w:p>
    <w:p>
      <w:pPr>
        <w:spacing w:after="0" w:line="174" w:lineRule="exact"/>
        <w:rPr>
          <w:sz w:val="20"/>
          <w:szCs w:val="20"/>
          <w:color w:val="auto"/>
        </w:rPr>
      </w:pPr>
    </w:p>
    <w:p>
      <w:pPr>
        <w:sectPr>
          <w:pgSz w:w="11900" w:h="16838" w:orient="portrait"/>
          <w:cols w:equalWidth="0" w:num="2">
            <w:col w:w="3620" w:space="720"/>
            <w:col w:w="6460"/>
          </w:cols>
          <w:pgMar w:left="320" w:top="455" w:right="7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For additional information concerning the offering,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beginning on page 21.</w:t>
      </w:r>
    </w:p>
    <w:p>
      <w:pPr>
        <w:spacing w:after="0" w:line="36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0"/>
          </w:cols>
          <w:pgMar w:left="320" w:top="455" w:right="7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risks. Before you make a decision to buy our securities, in addition to the risks and uncertainties discussed above under “Cautionary Note Regarding Forward-Looking Statements,” you should carefully consider the risks factors incorporated herein by reference to our most recent Annual Report on Form 10-K and in any subsequent Quarterly Reports on Form 10-Q or Current Reports on Form 8-K we file after the date of this prospectus, all other information contained or incorporated by reference into this prospectus, as updated by our subsequent filings under the Exchange Act, and the risk factors and other information contained in any applicable prospectus supplement. We operate in a dynamic and rapidly changing industry that involves numerous risks and uncertainties.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relates to the potential resale from time to time of some or all of 1,682,045 shares of our common stock. The selling stockholders will receive all of the proceeds from any sale of such shares. We will not receive any proceeds from any sales of shares of our common stock by the selling stockholders.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agreed to bear the expenses in connection with the registration of the shares of common stock to be offered by this prospectus by the selling stockholders other than any underwriting discounts and commissions or transfer taxes relating to the sale of common stock, which will be borne by the selling stockholders.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320" w:top="455" w:right="5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acquired shares of common stock from us in the Merger upon exchange of shares of Legacy Q32 acquired from Legacy Q32 immediately prior to the Merger pursuant to an exemption from registration under Section 4(a)(2) of the Securities Act. Pursuant to the registration rights agreement that we assumed in the Merger, we filed a registration statement with the SEC for the purposes of registering for resale from time to time the shares of common stock.</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Except for the ownership of shares of common stock received in the Merger, the selling stockholders have not had any material relationship with our company within the past three years.</w:t>
      </w:r>
    </w:p>
    <w:p>
      <w:pPr>
        <w:spacing w:after="0" w:line="16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their ownership of the shares of common stock offered hereby. The second column lists the number of shares of common stock beneficially owned by the selling stockholders as of March 27, 2025 based on information obtained from the Selling Stockholders. The selling stockholders may have sold or transferred some or all of the common stock indicated below and may in the future sell or transfer some or all of the common stock indicated below in transactions exempt from the registration requirements of the Securities Act rather than under this prospectus. The third column lists the shares of common stock being offered by this prospectus by the selling stockholders. The fourth column assumes the sale of all of the shares of common stock offered by the selling stockholders pursuant to this prospectus. The selling stockholders may sell all, some or none of their shares of common stock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as indicated by the footnotes below, we believe, based on the information furnished to us, that the selling stockholders have sole voting and investment power with respect to all shares of common stock that they own, subject to applicable community property laws. 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Percentage of beneficial ownership is based on 12,197,615 shares of common stock outstanding as of March 27, 2025.</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0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6"/>
        </w:trPr>
        <w:tc>
          <w:tcPr>
            <w:tcW w:w="14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8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that May</w:t>
            </w:r>
          </w:p>
        </w:tc>
        <w:tc>
          <w:tcPr>
            <w:tcW w:w="2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Owned</w:t>
            </w:r>
          </w:p>
        </w:tc>
        <w:tc>
          <w:tcPr>
            <w:tcW w:w="10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Be</w:t>
            </w:r>
          </w:p>
        </w:tc>
        <w:tc>
          <w:tcPr>
            <w:tcW w:w="1980" w:type="dxa"/>
            <w:vAlign w:val="bottom"/>
            <w:tcBorders>
              <w:bottom w:val="single" w:sz="8" w:color="auto"/>
            </w:tcBorders>
            <w:gridSpan w:val="3"/>
          </w:tcPr>
          <w:p>
            <w:pPr>
              <w:jc w:val="right"/>
              <w:ind w:right="332"/>
              <w:spacing w:after="0" w:line="129" w:lineRule="exact"/>
              <w:rPr>
                <w:sz w:val="20"/>
                <w:szCs w:val="20"/>
                <w:color w:val="auto"/>
              </w:rPr>
            </w:pPr>
            <w:r>
              <w:rPr>
                <w:rFonts w:ascii="Times New Roman" w:cs="Times New Roman" w:eastAsia="Times New Roman" w:hAnsi="Times New Roman"/>
                <w:sz w:val="14"/>
                <w:szCs w:val="14"/>
                <w:b w:val="1"/>
                <w:bCs w:val="1"/>
                <w:color w:val="auto"/>
              </w:rPr>
              <w:t>After the Offering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tcPr>
          <w:p>
            <w:pPr>
              <w:spacing w:after="0"/>
              <w:rPr>
                <w:sz w:val="11"/>
                <w:szCs w:val="11"/>
                <w:color w:val="auto"/>
              </w:rPr>
            </w:pPr>
          </w:p>
        </w:tc>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Selling Stockholders</w:t>
            </w:r>
          </w:p>
        </w:tc>
        <w:tc>
          <w:tcPr>
            <w:tcW w:w="1760" w:type="dxa"/>
            <w:vAlign w:val="bottom"/>
            <w:vMerge w:val="restart"/>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Before the</w:t>
            </w:r>
          </w:p>
        </w:tc>
        <w:tc>
          <w:tcPr>
            <w:tcW w:w="10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2620" w:type="dxa"/>
            <w:vAlign w:val="bottom"/>
            <w:tcBorders>
              <w:bottom w:val="single" w:sz="8" w:color="auto"/>
            </w:tcBorders>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1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0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Hereby</w:t>
            </w:r>
            <w:r>
              <w:rPr>
                <w:rFonts w:ascii="Times New Roman" w:cs="Times New Roman" w:eastAsia="Times New Roman" w:hAnsi="Times New Roman"/>
                <w:sz w:val="10"/>
                <w:szCs w:val="10"/>
                <w:b w:val="1"/>
                <w:bCs w:val="1"/>
                <w:color w:val="auto"/>
              </w:rPr>
              <w:t>(10)</w:t>
            </w:r>
          </w:p>
        </w:tc>
        <w:tc>
          <w:tcPr>
            <w:tcW w:w="12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Abingworth Bioventures VII LP</w:t>
            </w:r>
            <w:r>
              <w:rPr>
                <w:rFonts w:ascii="Times New Roman" w:cs="Times New Roman" w:eastAsia="Times New Roman" w:hAnsi="Times New Roman"/>
                <w:sz w:val="23"/>
                <w:szCs w:val="23"/>
                <w:color w:val="auto"/>
                <w:vertAlign w:val="superscript"/>
              </w:rPr>
              <w:t>(1)</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1,102,741</w:t>
            </w: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208,031</w:t>
            </w: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894,710</w:t>
            </w: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7.34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Acorn Bioventures, L.P.</w:t>
            </w:r>
            <w:r>
              <w:rPr>
                <w:rFonts w:ascii="Times New Roman" w:cs="Times New Roman" w:eastAsia="Times New Roman" w:hAnsi="Times New Roman"/>
                <w:sz w:val="25"/>
                <w:szCs w:val="25"/>
                <w:color w:val="auto"/>
                <w:vertAlign w:val="superscript"/>
              </w:rPr>
              <w:t>(2)</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803,425</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151,565</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651,860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Atlas Venture</w:t>
            </w:r>
            <w:r>
              <w:rPr>
                <w:rFonts w:ascii="Times New Roman" w:cs="Times New Roman" w:eastAsia="Times New Roman" w:hAnsi="Times New Roman"/>
                <w:sz w:val="25"/>
                <w:szCs w:val="25"/>
                <w:color w:val="auto"/>
                <w:vertAlign w:val="superscript"/>
              </w:rPr>
              <w:t>(3)</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2,092,106</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394,674</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1,697,432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6"/>
        </w:trPr>
        <w:tc>
          <w:tcPr>
            <w:tcW w:w="58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Aventis Inc.</w:t>
            </w:r>
            <w:r>
              <w:rPr>
                <w:rFonts w:ascii="Times New Roman" w:cs="Times New Roman" w:eastAsia="Times New Roman" w:hAnsi="Times New Roman"/>
                <w:sz w:val="25"/>
                <w:szCs w:val="25"/>
                <w:color w:val="auto"/>
                <w:vertAlign w:val="superscript"/>
              </w:rPr>
              <w:t>(4)</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244,083</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46,046</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198,037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Bristol-Myers Squibb Company</w:t>
            </w:r>
            <w:r>
              <w:rPr>
                <w:rFonts w:ascii="Times New Roman" w:cs="Times New Roman" w:eastAsia="Times New Roman" w:hAnsi="Times New Roman"/>
                <w:sz w:val="25"/>
                <w:szCs w:val="25"/>
                <w:color w:val="auto"/>
                <w:vertAlign w:val="superscript"/>
              </w:rPr>
              <w:t>(5)</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200,244</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200,244</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CU Healthcare Innovation Fund, L.P.</w:t>
            </w:r>
            <w:r>
              <w:rPr>
                <w:rFonts w:ascii="Times New Roman" w:cs="Times New Roman" w:eastAsia="Times New Roman" w:hAnsi="Times New Roman"/>
                <w:sz w:val="25"/>
                <w:szCs w:val="25"/>
                <w:color w:val="auto"/>
                <w:vertAlign w:val="superscript"/>
              </w:rPr>
              <w:t>(6)</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139,550</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50,061</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89,489</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OrbiMed Private Investments VII, LP</w:t>
            </w:r>
            <w:r>
              <w:rPr>
                <w:rFonts w:ascii="Times New Roman" w:cs="Times New Roman" w:eastAsia="Times New Roman" w:hAnsi="Times New Roman"/>
                <w:sz w:val="25"/>
                <w:szCs w:val="25"/>
                <w:color w:val="auto"/>
                <w:vertAlign w:val="superscript"/>
              </w:rPr>
              <w:t>(7)</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2,252,987</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425,024</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1,827,963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16"/>
        </w:trPr>
        <w:tc>
          <w:tcPr>
            <w:tcW w:w="58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The Trustees of Columbia University in the City of New York</w:t>
            </w:r>
            <w:r>
              <w:rPr>
                <w:rFonts w:ascii="Times New Roman" w:cs="Times New Roman" w:eastAsia="Times New Roman" w:hAnsi="Times New Roman"/>
                <w:sz w:val="25"/>
                <w:szCs w:val="25"/>
                <w:color w:val="auto"/>
                <w:vertAlign w:val="superscript"/>
              </w:rPr>
              <w:t>(8)</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133,903</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25,260</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108,643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Agent Capital Fund III LP</w:t>
            </w:r>
            <w:r>
              <w:rPr>
                <w:rFonts w:ascii="Times New Roman" w:cs="Times New Roman" w:eastAsia="Times New Roman" w:hAnsi="Times New Roman"/>
                <w:sz w:val="25"/>
                <w:szCs w:val="25"/>
                <w:color w:val="auto"/>
                <w:vertAlign w:val="superscript"/>
              </w:rPr>
              <w:t>(9)</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60,097</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60,097</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20" w:hanging="424"/>
        <w:spacing w:after="0" w:line="253"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(i) 1,102,741 shares of our common stock held of record by Abingworth Bioventures VII LP, or ABV VII. The Carlyle Group Inc., which is a publicly traded entity listed on the Nasdaq Global Select Market, is the sole shareholder of Carlyle Holdings I GP Inc., which is the sole member of Carlyle Holdings I GP Sub L.L.C., which is the general partner of Carlyle Holdings I L.P., which, with respect to the securities reported herein,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color w:val="auto"/>
        </w:rPr>
        <w:t>is the managing member of GG Subsidiary Holdings L.L.C., which is the managing member of TC Group, L.L.C., which is the managing member of Carlyle Investment Management, L.L.C., which is the sole member of Carlyle Genesis UK LLC, which is the principal member of Abingworth LLP. ABV VII has delegated to Abingworth LLP all investment and dispositive power over the securities held of record by ABV VII. As a result, each of the foregoing entities may be deemed to share beneficial ownership of the securities held of record by ABV VII, but each disclaims any such beneficial ownership. Voting and investment determinations with respect to the securities held by ABV VII are made by an investment committee of Abingworth LLP, which is comprised of Timothy Haines, Kurt von Emster, Bali Muralidhar and Andrew Sinclair. Each member of the investment committee disclaims beneficial ownership of the securities held of record by ABV VII. The address for each of Abingworth LLP and ABV VII is c/o Abingworth LLP, 38 Jermyn Street, London, England SW1Y 6DN. The address for each of the other entities named in this footnote is c/o The Carlyle Group, 1001 Pennsylvania Ave. NW, Suite 220 South, Washington, DC 20004-2505.</w:t>
      </w:r>
    </w:p>
    <w:p>
      <w:pPr>
        <w:spacing w:after="0" w:line="6" w:lineRule="exact"/>
        <w:rPr>
          <w:sz w:val="20"/>
          <w:szCs w:val="20"/>
          <w:color w:val="auto"/>
        </w:rPr>
      </w:pPr>
    </w:p>
    <w:p>
      <w:pPr>
        <w:ind w:left="540" w:right="16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(i) 803,425 shares held by Acorn Bioventures, L.P. The general partner of Acorn is Acorn Capital Advisors GP, LLC. Isaac Manke is a General Partner at Acorn and a member of Q32’s board of directors. The address for Acorn and Acorn Capital Advisors GP, LLC is 410 Lexington Ave, Suite 2626, New York, NY 10170.</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(i) 864,261 shares of our common stock held by Atlas Venture Fund X, L.P., or Atlas X, (ii) 503,296 shares of our common stock held by Atlas Venture Opportunity Fund I, L.P., or Atlas Opportunity I, and (iii) 724,549 shares of our common stock held by Atlas Venture Opportunity Fund II, L.P., or Atlas Opportunity II. The general partner of Atlas X is Atlas Venture Associates X, L.P., or AVA X, and the general partner of AVA X is Atlas Ventures Associates X, LLC, or AVA X LLC. The general partner of Atlas Opportunity I is Atlas Venture Associates Opportunity I, L.P., or AVAO I, and the general partner of AVAO I is Atlas Venture Associates Opportunity I, LLC, or AVAO I LLC. The general partner of Atlas Opportunity II is Atlas Venture Associates Opportunity II, L.P., or AVAO II, and the general partner of AVAO II is Atlas Venture Associates Opportunity II, LLC, or AVAO II LLC. David Grayzel is a member of AVA X LLC, AVAO I LLC, and AVAO II LLC, and is a member of Q32’s board of directors. Each of AVA X, AVA X LLC, AVAO I, AVAO I LLC, AVAO II, AVAO II LLC, and Mr. Grayzel may be deemed to beneficially own the shares held by Atlas X, Atlas Opportunity I, and Atlas Opportunity II. Each of AVA X, AVA X LLC, AVAO I, AVAO I LLC, AVAO II, AVAO II LLC, and Mr. Grayzel expressly disclaim beneficial ownership of the securities owned by Atlas X, Atlas Opportunity I, and Atlas Opportunity II, except to the extent of its pecuniary interest therein, if any. The address for Atlas X, AVA X, AVA X LLC, Atlas Opportunity I, AVAO I, AVAO I LLC, Atlas Opportunity II, AVAO II, AVAO II LLC is 300 Technology Sq., 8th Floor, Cambridge, MA 02139.</w:t>
      </w:r>
    </w:p>
    <w:p>
      <w:pPr>
        <w:spacing w:after="0" w:line="5"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244,083 shares held by Aventis, Inc, or Aventis. Aventis is an indirect, wholly owned subsidiary of Sanofi, a French société anonyme (limited liability company), which may be deemed to have sole voting and dispositive power over the securities held by Aventis. The address for Aventis is 100 Morris Ave, Morristown, NJ 07960.</w:t>
      </w:r>
    </w:p>
    <w:p>
      <w:pPr>
        <w:spacing w:after="0" w:line="1"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200,244 shares of our common stock held by Bristol-Myers Squibb Company, or BMS. The address for BMS is Route 206 &amp; Province Line Road, Princeton, NJ 08543-4000.</w:t>
      </w:r>
    </w:p>
    <w:p>
      <w:pPr>
        <w:ind w:left="540" w:right="12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139,550 shares held by CU Healthcare Innovation Fund L.P., or CU Healthcare. The natural persons that have power to vote or dispose of the shares are Steven Lindseth and Kimberly Muller, each of whom disclaim beneficial ownership of the shares held by CU Healthcare. The address for CU Healthcare is 12635 East Montview Blvd., Suite 100, Aurora, Colorado 80045.</w:t>
      </w:r>
    </w:p>
    <w:p>
      <w:pPr>
        <w:spacing w:after="0" w:line="1" w:lineRule="exact"/>
        <w:rPr>
          <w:rFonts w:ascii="Times New Roman" w:cs="Times New Roman" w:eastAsia="Times New Roman" w:hAnsi="Times New Roman"/>
          <w:sz w:val="18"/>
          <w:szCs w:val="18"/>
          <w:color w:val="auto"/>
        </w:rPr>
      </w:pPr>
    </w:p>
    <w:p>
      <w:pPr>
        <w:ind w:left="540" w:right="160" w:hanging="424"/>
        <w:spacing w:after="0" w:line="253"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2,252,987 shares held by OrbiMed Private Investments VII, LP. Securities are held of record by OrbiMed Private Investments VII, LP, or OPI VII. OrbiMed Capital GP VII LLC, or GP VII, is the general partner of OPI VII, and OrbiMed Advisors LLC, or OrbiMed Advisors, is the managing member of GP VII. By virtue of such relationships, GP VII and Advisors may be deemed to have voting power and investment power over the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80"/>
        <w:spacing w:after="0" w:line="255" w:lineRule="auto"/>
        <w:rPr>
          <w:sz w:val="20"/>
          <w:szCs w:val="20"/>
          <w:color w:val="auto"/>
        </w:rPr>
      </w:pPr>
      <w:r>
        <w:rPr>
          <w:rFonts w:ascii="Times New Roman" w:cs="Times New Roman" w:eastAsia="Times New Roman" w:hAnsi="Times New Roman"/>
          <w:sz w:val="18"/>
          <w:szCs w:val="18"/>
          <w:color w:val="auto"/>
        </w:rPr>
        <w:t>securities held by OPI VII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 Diyong Xu, a member of Q32’s board of directors, is an employee of OrbiMed Advisors. The address for the OrbiMed entities is c/o OrbiMed Advisors LLC, 601 Lexington Avenue, 54th Floor, New York, NY 10022.</w:t>
      </w:r>
    </w:p>
    <w:p>
      <w:pPr>
        <w:spacing w:after="0" w:line="3" w:lineRule="exact"/>
        <w:rPr>
          <w:sz w:val="20"/>
          <w:szCs w:val="20"/>
          <w:color w:val="auto"/>
        </w:rPr>
      </w:pPr>
    </w:p>
    <w:p>
      <w:pPr>
        <w:ind w:left="540" w:right="20" w:hanging="424"/>
        <w:spacing w:after="0" w:line="225"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133,903 shares held by the Trustees of Columbia University in the City of New York. The Trustees of Columbia University in the City of New York may be deemed to have voting and dispositive power over the securities held by the selling stockholder. The address for the Trustees of Columbia University in the City of New York is 1177 Avenue of the Americas, 34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10036.</w:t>
      </w:r>
    </w:p>
    <w:p>
      <w:pPr>
        <w:spacing w:after="0" w:line="3"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60,097 shares held by Agent Capital Fund III LP. Agent Capital Fund III LP is a Delaware limited partnership whose general partner is Agent Capital Fund III GP, LLC, or Agent GP, a Delaware limited liability company. Geeta Vemuri is the managing member of Agent GP and exercises voting and investment power with respect to the shares owned by Agent Capital Fund III LP. Agent GP and Ms. Vemuri disclaim beneficial ownership of all shares held by Agent Capital Fund III LP, except to the extent of their respective pecuniary interests therein. The principal business address of Agent Capital Fund III LP is 1400 Main Street, Floor 1, Waltham MA 02451.</w:t>
      </w:r>
    </w:p>
    <w:p>
      <w:pPr>
        <w:ind w:left="540" w:hanging="424"/>
        <w:spacing w:after="0" w:line="26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shares of common stock, including, without limitation, shares of common stock acquired in the open market are being offered under this prospectus.</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40"/>
          </w:cols>
          <w:pgMar w:left="320" w:top="455" w:right="5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some of the terms of our restated certificate of incorporation and amended and restated bylaws and of the Delaware General Corporation Law. This description is summarized from, and qualified in its entirety by reference to, our restated certificate of incorporation and amended and restated bylaws, each of which has been publicly filed with the SEC.</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authorized capital stock consists of:</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 shares of common stock, par value $0.0001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$0.0001 per share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“QTTB.”</w:t>
      </w:r>
    </w:p>
    <w:p>
      <w:pPr>
        <w:spacing w:after="0" w:line="22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See below under </w:t>
      </w:r>
      <w:r>
        <w:rPr>
          <w:rFonts w:ascii="Times New Roman" w:cs="Times New Roman" w:eastAsia="Times New Roman" w:hAnsi="Times New Roman"/>
          <w:sz w:val="18"/>
          <w:szCs w:val="18"/>
          <w:i w:val="1"/>
          <w:iCs w:val="1"/>
          <w:color w:val="auto"/>
        </w:rPr>
        <w:t>“-Anti-Takeover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of Delaware Law and Our Certificate of Incorporation and Bylaws-Amendment of Charter Provisions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Rights Upon Liquidation. </w:t>
      </w:r>
      <w:r>
        <w:rPr>
          <w:rFonts w:ascii="Times New Roman" w:cs="Times New Roman" w:eastAsia="Times New Roman" w:hAnsi="Times New Roman"/>
          <w:sz w:val="18"/>
          <w:szCs w:val="18"/>
          <w:color w:val="auto"/>
        </w:rPr>
        <w:t>In the event of our liquidation or dissolution, the holders of common stock are entitled to receive proportionately our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available for distribution to stockholders after the payment of all debts and other liabilities and subject to the prior rights of any outstanding preferred stock.</w:t>
      </w:r>
    </w:p>
    <w:p>
      <w:pPr>
        <w:spacing w:after="0" w:line="17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Rights. </w:t>
      </w:r>
      <w:r>
        <w:rPr>
          <w:rFonts w:ascii="Times New Roman" w:cs="Times New Roman" w:eastAsia="Times New Roman" w:hAnsi="Times New Roman"/>
          <w:sz w:val="18"/>
          <w:szCs w:val="18"/>
          <w:color w:val="auto"/>
        </w:rPr>
        <w:t>Holders of common stock have no preemptive, subscription, redemption or conversion rights. Our outstanding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are,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Holders of common stock are entitled to receive proportionately any dividends as may be declared by our board of directors, subject to any preferential dividend rights of outstanding preferred stock. We have never declared or paid any cash dividends on our common stock. We do not intend to declare or pay cash dividends for the foreseeable future. We currently expect to retain all future earnings, if any, for use in 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our restated certificate of incorporation, our board of directors is authorized to issue shares of preferred stock in one or more series without stockholder approval. Our board of directors have the discretion to determine the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purpose of authorizing the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Homology’s outstanding voting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Merger Agreement, Legacy Q32 entered into a subscription agreement in November 2023, or the Subscription Agreement, with certain investors to consummate their purchase of shares of Legacy Q32’s common stock for an aggregate purchase price of $42.0 million, or the Pre-Closing Financing. Pursuant to the Subscription Agreement, on March 25, 2024, we entered into a registration rights agreement, or the Registration Rights Agreement, with the investors in the Pre-Closing Financing. Under the Registration Rights Agreement, among other things, we agreed to register for resale certain shares of our common stock held by such investors from time to time, including shares of our common stock issued in the Merger in exchange for the shares of Legacy Q32 common stock issued in the Pre-Closing Financing.</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the Registration Rights Agreement, we are obligated to prepare and file a shelf registration statement covering the resale of covered shares of our common stock within forty-five (45) calendar days following the closing of the Merger, subject to certain exceptions, pursuant to Rule 415 of the Securities Act. We also agreed to use our reasonable best efforts to keep such registration statement continuously effective under the Securities Act until the earlier of the date that all registrable securities covered by such registration statement (a) have been sold, thereunder or pursuant to Rule 144 of the Securities Act, or Rule 144, or (b) may be sold without volume or manner-of-sale restrictions pursuant to Rule 144 and without the requirement for us to be in compliance with the current public information requirement under Rule 144. The registration rights agreement also provides that we will pay certain expenses of the securityholders and indemnify the applicable securityholders against certain liabilities.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Some provisions of the Delaware law, our restated certificate of incorporation and amended and restated bylaws could make the following transactions more difficult: an acquisition by means of a tender offer; an acquisition by means of a proxy contest or otherwise; or the removal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our company to first negotiate with our board of directors. We believe that the benefits of the increased protection of our potential ability to negotiate with the proponent of an unfriendly or unsolicited proposal to acquire or restructure Homology outweigh the disadvantages of discouraging these proposals because negotiation of these proposals could result in an improvement of their terms.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Undesignated Preferred Stock</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it. These and other provisions may have the effect of deferring hostile takeovers or delaying changes in control or management.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Meetings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a special meeting of stockholders may be called only by our chairman of the board, chief executive officer or president (in the absence of a chief executive officer), or by a resolution adopted by a majority of our board of directors.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Elimination of Stockholder Action by Written Consent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restated certificate of incorporation eliminates the right of stockholders to act by written consent without a meeting.</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119"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our company, because it generally makes it more difficult for stockholders to replace a majority of the directors.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subject to the rights of holders of any series of preferred stock, no member of our board of directors may be removed from office by our stockholders except for cause and, in addition to any other vote required by law, upon the approval of the holders of at least two-thirds in voting power of the outstanding shares of capital stock entitled to vote in the election of directors. Subject to the rights of holders of any series of preferred stock, any vacancy on our board of directors, including a vacancy resulting from an enlargement of our board of directors, may be filled only by vote of a majority of directors then in office, unless our board of directors determines by resolution that any such vacancy or newly created directorship shall be filled by our stockholders.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Stockholders Not Entitled to Cumulative Voting</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Delaware Anti-Takeover Statute</w:t>
      </w:r>
    </w:p>
    <w:p>
      <w:pPr>
        <w:spacing w:after="0" w:line="11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an alternative forum,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it arising pursuant to any provision of the General Corporation Law of the State of Delaware or our restated certificate of incorporation or amended and restated bylaws; or (4) any action asserting a claim governed by the internal affairs doctrine.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192"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In addition, our amended and restated bylaws 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and any person or entity purchasing or otherwise acquiring or holding any interest in our shares of capital stock shall be deemed to have notice of and consented to this choice of forum provision.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of Charter Provisions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capital stock entitled to vote thereon.</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restated certificate of incorporation and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380" w:firstLine="2397"/>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MATERIAL UNITED STATES FEDERAL INCOME TAX CONSIDERATIONS </w:t>
      </w:r>
      <w:r>
        <w:rPr>
          <w:rFonts w:ascii="Times New Roman" w:cs="Times New Roman" w:eastAsia="Times New Roman" w:hAnsi="Times New Roman"/>
          <w:sz w:val="18"/>
          <w:szCs w:val="18"/>
          <w:b w:val="1"/>
          <w:bCs w:val="1"/>
          <w:i w:val="1"/>
          <w:iCs w:val="1"/>
          <w:color w:val="auto"/>
        </w:rPr>
        <w:t>Material U.S. Federal Income Tax Consequences for Holders of Common Stock</w:t>
      </w:r>
    </w:p>
    <w:p>
      <w:pPr>
        <w:spacing w:after="0" w:line="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our shares of common stock, which we refer to as our securities. This discussion applies only to securities that are held as capital assets for U.S. federal income tax purposes and is applicable only to holders who are receiving our securities in this offering.</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(such as the effects of Section 451 of the Code), including but not limited to:</w:t>
      </w:r>
    </w:p>
    <w:p>
      <w:pPr>
        <w:spacing w:after="0" w:line="85"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5% or more of our voting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securities as part of a “straddle,” hedge, integrated transaction or similar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and any beneficial owners of such entities;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sought, and will not seek, a ruling from the Internal Revenue Service, or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who hold our securities through such entities. If a partnership (or other entity or arrangement classified as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partnership or other pass-through entity for U.S. federal income tax purposes) is the beneficial owner of our securities, the U.S.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tax advisor.</w:t>
      </w:r>
    </w:p>
    <w:p>
      <w:pPr>
        <w:spacing w:after="0" w:line="176" w:lineRule="exact"/>
        <w:rPr>
          <w:sz w:val="20"/>
          <w:szCs w:val="20"/>
          <w:color w:val="auto"/>
        </w:rPr>
      </w:pPr>
    </w:p>
    <w:p>
      <w:pPr>
        <w:ind w:left="120" w:right="260"/>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UNITED STATES FEDERAL INCOME TAX CONSIDERATIONS ASSOCIATED WITH THE ACQUISITION, OWNERSHIP AND DISPOSITION OF OUR SECURITIES. EACH PROSPECTIVE INVESTOR IN OUR SECURITIES IS URGED TO CONSULT ITS TAX ADVISOR WITH RESPECT TO THE PARTICULAR TAX CONSEQUENCES TO SUCH INVESTOR OF THE ACQUISITION, OWNERSHIP AND DISPOSITION OF OUR SECURITIES, INCLUDING THE APPLICABILITY AND EFFECT OF ANY UNITED STATES FEDERAL NON-INCOME, STATE AND LOCAL, AND NON-U.S. TAX LAWS.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Consequences for U.S. Holders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any beneficial owner of our common stock that, for U.S. federal income tax purposes, is or is treated as:</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any state thereof, or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74"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Taxation of Distributions</w:t>
      </w:r>
      <w:r>
        <w:rPr>
          <w:rFonts w:ascii="Times New Roman" w:cs="Times New Roman" w:eastAsia="Times New Roman" w:hAnsi="Times New Roman"/>
          <w:sz w:val="17"/>
          <w:szCs w:val="17"/>
          <w:color w:val="auto"/>
        </w:rPr>
        <w:t>. If we pay distributions in cash or other property (other than certain distributions of our stock or rights to acquire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to U.S. holders of shares of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common stock. Any remaining excess will be treated as gain realized on the sale or other disposition of the common stock and will be treated as described under “</w:t>
      </w:r>
      <w:r>
        <w:rPr>
          <w:rFonts w:ascii="Times New Roman" w:cs="Times New Roman" w:eastAsia="Times New Roman" w:hAnsi="Times New Roman"/>
          <w:sz w:val="17"/>
          <w:szCs w:val="17"/>
          <w:i w:val="1"/>
          <w:iCs w:val="1"/>
          <w:color w:val="auto"/>
        </w:rPr>
        <w:t>U.S. Holders-Gain or Loss on Sale, Taxable Exchange or Other Taxable Disposition of common stock</w:t>
      </w:r>
      <w:r>
        <w:rPr>
          <w:rFonts w:ascii="Times New Roman" w:cs="Times New Roman" w:eastAsia="Times New Roman" w:hAnsi="Times New Roman"/>
          <w:sz w:val="17"/>
          <w:szCs w:val="17"/>
          <w:color w:val="auto"/>
        </w:rPr>
        <w:t>” below.</w:t>
      </w:r>
    </w:p>
    <w:p>
      <w:pPr>
        <w:spacing w:after="0" w:line="17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7"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common stock</w:t>
      </w:r>
      <w:r>
        <w:rPr>
          <w:rFonts w:ascii="Times New Roman" w:cs="Times New Roman" w:eastAsia="Times New Roman" w:hAnsi="Times New Roman"/>
          <w:sz w:val="18"/>
          <w:szCs w:val="18"/>
          <w:color w:val="auto"/>
        </w:rPr>
        <w:t>. Upon a sale or other taxable disposition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 U.S. holder generally will recognize capital gain or loss in an amount equal to the difference between the amount realized and the U.S. holder’s adjusted tax basis in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 Any such capital gain or loss generally will be long-term capital gain or loss if the U.S. holder’s holding period for the common stock so disposed of exceeds one year. If the holding period requirements are not satisfied, any gain on a sale or taxable disposition of the shares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so disposed of. A U.S. holder’s adjusted tax basis in its common stock generally will equal the U.S. holder’s acquisition cost for the common stock or less, in the case of a share of common stock, any prior distributions treated as a return of capital. In the case of any shares of common stock originally acquired as part of an investment unit, the acquisition cost for the share of common stock that were part of such unit would equal an allocable portion of the acquisition cost of the unit based on the relative fair market values of the components of the unit at the time of acquisition.</w:t>
      </w:r>
    </w:p>
    <w:p>
      <w:pPr>
        <w:spacing w:after="0" w:line="18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In general, information reporting requirements may apply to dividends paid to a U.S. holder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proceeds of the sale or other disposition of our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Consequences for Non-U.S. Holders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common stock who or that is for U.S. federal income tax purposes:</w:t>
      </w:r>
    </w:p>
    <w:p>
      <w:pPr>
        <w:spacing w:after="0" w:line="6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U.S. subject to U.S. tax as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7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In general, any distributions we make to a Non-U.S. holder of shares of common stock, to the extent paid out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Holders-Gain on Sale, Taxable Exchange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Taxable Disposition of common stock</w:t>
      </w:r>
      <w:r>
        <w:rPr>
          <w:rFonts w:ascii="Times New Roman" w:cs="Times New Roman" w:eastAsia="Times New Roman" w:hAnsi="Times New Roman"/>
          <w:sz w:val="18"/>
          <w:szCs w:val="18"/>
          <w:color w:val="auto"/>
        </w:rPr>
        <w:t>” below.</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withholding tax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81"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Gain on Sale, Taxable Exchange or Other Taxable Disposition of common stock</w:t>
      </w:r>
      <w:r>
        <w:rPr>
          <w:rFonts w:ascii="Times New Roman" w:cs="Times New Roman" w:eastAsia="Times New Roman" w:hAnsi="Times New Roman"/>
          <w:sz w:val="18"/>
          <w:szCs w:val="18"/>
          <w:color w:val="auto"/>
        </w:rPr>
        <w:t>. A Non-U.S. holder generally will not be subject to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or withholding tax in respect of gain recognized on a sale, taxable exchange or other taxable disposition of common stock, unless:</w:t>
      </w:r>
    </w:p>
    <w:p>
      <w:pPr>
        <w:spacing w:after="0" w:line="66" w:lineRule="exact"/>
        <w:rPr>
          <w:sz w:val="20"/>
          <w:szCs w:val="20"/>
          <w:color w:val="auto"/>
        </w:rPr>
      </w:pPr>
    </w:p>
    <w:p>
      <w:pPr>
        <w:ind w:left="1080" w:right="80" w:hanging="424"/>
        <w:spacing w:after="0" w:line="312" w:lineRule="auto"/>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45" w:lineRule="exact"/>
        <w:rPr>
          <w:rFonts w:ascii="Times New Roman" w:cs="Times New Roman" w:eastAsia="Times New Roman" w:hAnsi="Times New Roman"/>
          <w:sz w:val="17"/>
          <w:szCs w:val="17"/>
          <w:color w:val="auto"/>
        </w:rPr>
      </w:pPr>
    </w:p>
    <w:p>
      <w:pPr>
        <w:ind w:left="1080" w:right="80" w:hanging="424"/>
        <w:spacing w:after="0" w:line="25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during the shorter of the five-year period ending on the date of disposition or the period that the Non-U.S. holder held common stock, and, in the case where shares of common stock are regularly traded on an established securities market, the Non-U.S. holder has owned, directly or constructively, more than 5% of common stock at any time within the shorter of the five-year period preceding the disposition or such Non-U.S. holder’s holding period for the shares of common stock. There can be no assurance that common stock will be treated as regularly traded on an established securities market for this purpose.</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76"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common stock will be subject to tax at generally applicable U.S. federal income tax rates.</w:t>
      </w:r>
    </w:p>
    <w:p>
      <w:pPr>
        <w:spacing w:after="0" w:line="160"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Information returns will be filed with the IRS in connection with payments of dividends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a sale or other disposition of our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FATCA Withholding Taxes</w:t>
      </w:r>
      <w:r>
        <w:rPr>
          <w:rFonts w:ascii="Times New Roman" w:cs="Times New Roman" w:eastAsia="Times New Roman" w:hAnsi="Times New Roman"/>
          <w:sz w:val="18"/>
          <w:szCs w:val="18"/>
          <w:color w:val="auto"/>
        </w:rPr>
        <w:t>. Provisions commonly referred to as “FATCA” impose withholding of 30% on payments of dividends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constructive dividends) on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Pursuant to proposed Treasury Regulations, the U.S. Treasury Department has indicated its intent to eliminate the requirement under FATCA of withholding on gross proceeds from the sale or other disposition of property of a type which can produce U.S. source dividends or interest. The U.S. Treasury Department has indicated that taxpayers may rely on these proposed Treasury Regulations pending their finalization. Foreign financial</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donees, transferees or other successors-in-interest may, from time to time, sell, transfer or otherwise dispose of any or all of their securities covered hereby on the Nasdaq Global Select Market, the Nasdaq Global Market, the Nasdaq Capital Market, or the New York Stock Exchange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89"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also may transfer the securities in other circumstances, in which case the transferees, pledgees, donees or other successors in interest will be the selling beneficial owners for purposes of this prospectus.</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(it being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understood that the selling stockholders shall not be deemed to be underwriters solely as a result of their participation in this offering).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the date that the securities (i) have been sold, pursuant to this prospectus or pursuant to Rule 144, or (ii) the date on which the securities may be resold by the selling stockholders without registration and without regard to any volume or manner-of-sale limitations by reason of Rule 144, and without the requirement for us to be in compliance with the current public information under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and any appliable prospectus supplement available to the selling stockholders and have informed them of the need to deliver a copy of this prospectus and any appliable prospectus supplement to each purchaser at or prior to the time of the sale (including by compliance with Rule 172 under the Securities Act).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proceeds from sales of any shares of common stock by the selling stockholders.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cannot assure you that the selling stockholders will sell all or any portion of the shares of common stock offered hereby. We are registering the resale of shares of our common stock to provide the selling stockholders with freely tradable securities, but the registration of such shares does not necessarily mean that any of such shares will be offered or sold by the selling stockholders pursuant to this prospectus or at all.</w:t>
      </w:r>
    </w:p>
    <w:p>
      <w:pPr>
        <w:spacing w:after="0" w:line="176" w:lineRule="exact"/>
        <w:rPr>
          <w:sz w:val="20"/>
          <w:szCs w:val="20"/>
          <w:color w:val="auto"/>
        </w:rPr>
      </w:pPr>
    </w:p>
    <w:p>
      <w:pPr>
        <w:jc w:val="center"/>
        <w:ind w:right="120"/>
        <w:spacing w:after="0" w:line="454"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22</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common stock being offered by this prospectus has been passed upon for us by Goodwin Procter LLP, Boston, Massachusetts.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Q32 Bio Inc. appearing in Q32 Bio Inc.’s Annual Report (Form 10-K) for the year ended December 31, 2024,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by reference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file annual, quarterly and current reports, proxy statements and other information with the SEC electronically, and the SEC maintains a website that contains our filings as well as reports, proxy and information statements, and other information issuers file electronically with the SEC at www.sec.gov.</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also make available free of charge on or through our website at www.q32bio.com,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furnishes it to the SEC. The website addresses are inactive textual references and except as specifically incorporated by reference into this prospectus, information on those websites is not part of this prospectus.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to the extent that a statement contained in or omitted from this prospectus,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We incorporate by reference the documents listed below which have been filed by us:</w:t>
      </w:r>
    </w:p>
    <w:p>
      <w:pPr>
        <w:spacing w:after="0" w:line="93" w:lineRule="exact"/>
        <w:rPr>
          <w:sz w:val="20"/>
          <w:szCs w:val="20"/>
          <w:color w:val="auto"/>
        </w:rPr>
      </w:pPr>
    </w:p>
    <w:p>
      <w:pPr>
        <w:ind w:left="5540" w:right="1720" w:hanging="4884"/>
        <w:spacing w:after="0" w:line="454" w:lineRule="auto"/>
        <w:tabs>
          <w:tab w:leader="none" w:pos="10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4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11, 2025; 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51">
        <w:r>
          <w:rPr>
            <w:rFonts w:ascii="Times New Roman" w:cs="Times New Roman" w:eastAsia="Times New Roman" w:hAnsi="Times New Roman"/>
            <w:sz w:val="18"/>
            <w:szCs w:val="18"/>
            <w:u w:val="single" w:color="auto"/>
            <w:color w:val="0000EE"/>
          </w:rPr>
          <w:t>February 10,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2">
        <w:r>
          <w:rPr>
            <w:rFonts w:ascii="Times New Roman" w:cs="Times New Roman" w:eastAsia="Times New Roman" w:hAnsi="Times New Roman"/>
            <w:sz w:val="18"/>
            <w:szCs w:val="18"/>
            <w:u w:val="single" w:color="auto"/>
            <w:color w:val="0000EE"/>
          </w:rPr>
          <w:t>March 10,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(i) the Registration Statement on </w:t>
      </w:r>
      <w:hyperlink r:id="rId5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001-38433), filed by the Registrant with the Commission under Section 12(b) of the Exchange Act on March 19, 2018, including any amendments or reports filed for the purpose of updating such description and (ii) </w:t>
      </w:r>
      <w:hyperlink r:id="rId54">
        <w:r>
          <w:rPr>
            <w:rFonts w:ascii="Times New Roman" w:cs="Times New Roman" w:eastAsia="Times New Roman" w:hAnsi="Times New Roman"/>
            <w:sz w:val="18"/>
            <w:szCs w:val="18"/>
            <w:u w:val="single" w:color="auto"/>
            <w:color w:val="0000EE"/>
          </w:rPr>
          <w:t>Exhibit 4.1</w:t>
        </w:r>
      </w:hyperlink>
      <w:r>
        <w:rPr>
          <w:rFonts w:ascii="Times New Roman" w:cs="Times New Roman" w:eastAsia="Times New Roman" w:hAnsi="Times New Roman"/>
          <w:sz w:val="18"/>
          <w:szCs w:val="18"/>
          <w:color w:val="auto"/>
        </w:rPr>
        <w:t>—Description of Securities to Amendment No. 1 to our Annual Report on Form 10-K/A, as filed with the Commission on April 12, 2024.</w:t>
      </w:r>
    </w:p>
    <w:p>
      <w:pPr>
        <w:spacing w:after="0" w:line="180" w:lineRule="exact"/>
        <w:rPr>
          <w:rFonts w:ascii="Times New Roman" w:cs="Times New Roman" w:eastAsia="Times New Roman" w:hAnsi="Times New Roman"/>
          <w:sz w:val="18"/>
          <w:szCs w:val="18"/>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All documents we file with the SEC pursuant to Sections 13(a), 13(c), 14 or 15(d) of the Exchange Act, except as to any portion of any report or documents that is not deemed filed under such provisions, (i) on or after the date of filing of the registration statement containing this prospectus and prior to the effectiveness of the registration statement and (ii) on or after the date of this prospectus until the earlier of the date on which all of the securities registered hereunder have been sold or the registration statement of which this prospectus is a part has been withdrawn, shall be deemed incorporated by reference in this prospectus and to be a part of this prospectus from the date of filing of those documents and will be automatically updated and, to the extent described above, supersede information contained or incorporated by reference in this prospectus and previously filed documents that are incorporated by reference in this prospectus.</w:t>
      </w:r>
    </w:p>
    <w:p>
      <w:pPr>
        <w:spacing w:after="0" w:line="189" w:lineRule="exact"/>
        <w:rPr>
          <w:rFonts w:ascii="Times New Roman" w:cs="Times New Roman" w:eastAsia="Times New Roman" w:hAnsi="Times New Roman"/>
          <w:sz w:val="18"/>
          <w:szCs w:val="18"/>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Nothing in this prospectus shall be deemed to incorporate information furnished but not filed with the SEC pursuant to Item 2.02, 7.01 or 9.01 of Form 8-K. Upon written or oral request, we will provide without charge to each person, including any beneficial owner, to whom a copy of the prospectus is delivered a copy of any or all of the reports or documents incorporated by reference herein (other than exhibits to such documents, unless such exhibits are specifically incorporated by reference herein). You may request a copy of these filings, at no cost, by writing or telephoning us at the following address or phone number:</w:t>
      </w:r>
    </w:p>
    <w:p>
      <w:pPr>
        <w:spacing w:after="0" w:line="183"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Q32 Bio Inc.</w:t>
      </w:r>
    </w:p>
    <w:p>
      <w:pPr>
        <w:spacing w:after="0" w:line="27"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830 Winter Street</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Waltham, MA 02451</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999-0232</w:t>
      </w:r>
    </w:p>
    <w:p>
      <w:pPr>
        <w:spacing w:after="0" w:line="9" w:lineRule="exact"/>
        <w:rPr>
          <w:rFonts w:ascii="Times New Roman" w:cs="Times New Roman" w:eastAsia="Times New Roman" w:hAnsi="Times New Roman"/>
          <w:sz w:val="18"/>
          <w:szCs w:val="18"/>
          <w:color w:val="auto"/>
        </w:rPr>
      </w:pPr>
    </w:p>
    <w:p>
      <w:pPr>
        <w:ind w:left="4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IR@q32bio.com</w:t>
      </w:r>
    </w:p>
    <w:p>
      <w:pPr>
        <w:spacing w:after="0" w:line="13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1656080</wp:posOffset>
            </wp:positionV>
            <wp:extent cx="123444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1234440" cy="30861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5"/>
          <w:szCs w:val="25"/>
          <w:b w:val="1"/>
          <w:bCs w:val="1"/>
          <w:color w:val="auto"/>
        </w:rPr>
        <w:t>Up to 1,682,045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1678940</wp:posOffset>
            </wp:positionV>
            <wp:extent cx="1474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6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paid.</w:t>
      </w:r>
    </w:p>
    <w:p>
      <w:pPr>
        <w:spacing w:after="0" w:line="27"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102(b)(7) of the DGCL provides that a corporation’s certificate of incorporation may contain a provision eliminating or limiting the personal liability of a director or officer to the corporation or its stockholders for monetary damages for breach of fiduciary duty, provided that such provision shall not eliminate or limit the liability (i) for any breach of the duty of loyalty to the corporation or its stockholders, (ii) for acts or omissions not in good faith or that involve intentional misconduct or a knowing violation of law, (iii) under Section 174 of the DGCL, or (iv) for any transaction from which an improper personal benefit was derived. The Bylaws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The Bylaws provide that we will indemnify any Indemnitee who was or is a party to an action or suit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9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0"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also maintain general liability insurance that covers certain liabilities of our directors and officers arising out of claims based on acts or omissions in their capacities as directors or officers, including liabilities under the Securities Act.</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Under the Merger Agreement, from the effective time of the Merger through the sixth anniversary of the date of the effective time, we agreed to indemnify and hold harmless each person who was, as of November 16, 2023, the signing date of the Merger Agreement, or had been at any time prior, or who becomes prior to the effective time of the Merger, a director or officer of our company or Legacy Q32, against all claims, losses, liabilities, damages, judgments, fines and reasonable fees, costs and expenses, including attorneys’ fees and disbursements, pertaining to claims arising out of the fact that such person was a director or officer of our company or Legacy Q32, at or prior to the effective time of the merger, to the fullest extent permitted under the DGCL.</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Merger Agreement, we agreed not to amend, modify or repeal provisions in the Restated Certificate of Incorporation and the Amended and Restated Bylaws that were in effect as of November 16, 2023, the date of the Merger Agreement, with respect to indemnification, advancement of expenses and exculpation of our present and former directors and officers for a period of six years from the effective time of the Merger in a manner that would adversely affect the rights of such individuals who at the effective time of the Merger were our officers or directors.</w:t>
      </w:r>
    </w:p>
    <w:p>
      <w:pPr>
        <w:spacing w:after="0" w:line="180"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the Merger, we purchased an insurance policy in effect for six years from the effective time of the Merger, providing no less favorable coverage as the current directors’ and officers’ liability insurance policies maintained by us with respect to any actual or alleged error, misstatement, misleading statement, act, omission, neglect, breach of duty or any matter claimed against our current and former officers and directors.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0" w:type="dxa"/>
            <w:vAlign w:val="bottom"/>
            <w:gridSpan w:val="3"/>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840" w:type="dxa"/>
            <w:vAlign w:val="bottom"/>
            <w:vMerge w:val="restart"/>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07"/>
        </w:trPr>
        <w:tc>
          <w:tcPr>
            <w:tcW w:w="9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72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4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2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18"/>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84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6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42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Agreement and Plan of Merger, dated as of November 16,</w:t>
              </w:r>
            </w:hyperlink>
          </w:p>
        </w:tc>
        <w:tc>
          <w:tcPr>
            <w:tcW w:w="280" w:type="dxa"/>
            <w:vAlign w:val="bottom"/>
            <w:gridSpan w:val="4"/>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S-4</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333-276093</w:t>
            </w: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12/18/2023</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0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2023, by and among Homology Medicines, Inc., Kenobi</w:t>
              </w:r>
            </w:hyperlink>
          </w:p>
        </w:tc>
        <w:tc>
          <w:tcPr>
            <w:tcW w:w="420" w:type="dxa"/>
            <w:vAlign w:val="bottom"/>
            <w:gridSpan w:val="6"/>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5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Merger Sub, Inc. and Q32 Bio Inc.</w:t>
              </w:r>
            </w:hyperlink>
          </w:p>
        </w:tc>
        <w:tc>
          <w:tcPr>
            <w:tcW w:w="2000" w:type="dxa"/>
            <w:vAlign w:val="bottom"/>
            <w:gridSpan w:val="14"/>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42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Restated Certificate of Incorporation, as currently in effect.</w:t>
              </w:r>
            </w:hyperlink>
          </w:p>
        </w:tc>
        <w:tc>
          <w:tcPr>
            <w:tcW w:w="240" w:type="dxa"/>
            <w:vAlign w:val="bottom"/>
            <w:gridSpan w:val="2"/>
          </w:tcPr>
          <w:p>
            <w:pPr>
              <w:spacing w:after="0"/>
              <w:rPr>
                <w:sz w:val="24"/>
                <w:szCs w:val="24"/>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001-38433</w:t>
            </w: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4/3/18</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40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Certificate of Amendment to the Amended and Restated</w:t>
              </w:r>
            </w:hyperlink>
          </w:p>
        </w:tc>
        <w:tc>
          <w:tcPr>
            <w:tcW w:w="440" w:type="dxa"/>
            <w:vAlign w:val="bottom"/>
            <w:gridSpan w:val="7"/>
          </w:tcPr>
          <w:p>
            <w:pPr>
              <w:spacing w:after="0"/>
              <w:rPr>
                <w:sz w:val="24"/>
                <w:szCs w:val="24"/>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001-38433</w:t>
            </w: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3/26/2024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500" w:type="dxa"/>
            <w:vAlign w:val="bottom"/>
            <w:gridSpan w:val="23"/>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Certificate of Incorporation of the Company-reverse stock</w:t>
              </w:r>
            </w:hyperlink>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500" w:type="dxa"/>
            <w:vAlign w:val="bottom"/>
            <w:gridSpan w:val="23"/>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split and authorized share increase, dated March 25, 2024.</w:t>
              </w:r>
            </w:hyperlink>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3.3</w:t>
            </w:r>
          </w:p>
        </w:tc>
        <w:tc>
          <w:tcPr>
            <w:tcW w:w="406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Certificate of Amendment to the Amended and Restated</w:t>
              </w:r>
            </w:hyperlink>
          </w:p>
        </w:tc>
        <w:tc>
          <w:tcPr>
            <w:tcW w:w="120" w:type="dxa"/>
            <w:vAlign w:val="bottom"/>
            <w:tcBorders>
              <w:top w:val="single" w:sz="8" w:color="0000EE"/>
            </w:tcBorders>
            <w:gridSpan w:val="2"/>
          </w:tcPr>
          <w:p>
            <w:pPr>
              <w:spacing w:after="0"/>
              <w:rPr>
                <w:sz w:val="24"/>
                <w:szCs w:val="24"/>
                <w:color w:val="auto"/>
              </w:rPr>
            </w:pPr>
          </w:p>
        </w:tc>
        <w:tc>
          <w:tcPr>
            <w:tcW w:w="320" w:type="dxa"/>
            <w:vAlign w:val="bottom"/>
            <w:gridSpan w:val="5"/>
          </w:tcPr>
          <w:p>
            <w:pPr>
              <w:spacing w:after="0"/>
              <w:rPr>
                <w:sz w:val="24"/>
                <w:szCs w:val="24"/>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001-38433</w:t>
            </w: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3.2</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3/26/2024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2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Certificate of Incorporation of the Company-name change,</w:t>
              </w:r>
            </w:hyperlink>
          </w:p>
        </w:tc>
        <w:tc>
          <w:tcPr>
            <w:tcW w:w="26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69">
              <w:r>
                <w:rPr>
                  <w:rFonts w:ascii="Times New Roman" w:cs="Times New Roman" w:eastAsia="Times New Roman" w:hAnsi="Times New Roman"/>
                  <w:sz w:val="18"/>
                  <w:szCs w:val="18"/>
                  <w:color w:val="0000EE"/>
                  <w:w w:val="98"/>
                </w:rPr>
                <w:t>dated March 25, 2024.</w:t>
              </w:r>
            </w:hyperlink>
          </w:p>
        </w:tc>
        <w:tc>
          <w:tcPr>
            <w:tcW w:w="2880" w:type="dxa"/>
            <w:vAlign w:val="bottom"/>
            <w:gridSpan w:val="19"/>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3.4</w:t>
            </w:r>
          </w:p>
        </w:tc>
        <w:tc>
          <w:tcPr>
            <w:tcW w:w="4500" w:type="dxa"/>
            <w:vAlign w:val="bottom"/>
            <w:gridSpan w:val="23"/>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Amended and Restated Bylaws, as currently in effect.</w:t>
              </w:r>
            </w:hyperlink>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001-38433</w:t>
            </w: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12/18/20</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274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8"/>
              </w:rPr>
            </w:pPr>
            <w:hyperlink r:id="rId54">
              <w:r>
                <w:rPr>
                  <w:rFonts w:ascii="Times New Roman" w:cs="Times New Roman" w:eastAsia="Times New Roman" w:hAnsi="Times New Roman"/>
                  <w:sz w:val="18"/>
                  <w:szCs w:val="18"/>
                  <w:color w:val="0000EE"/>
                  <w:w w:val="98"/>
                </w:rPr>
                <w:t>Description of Registrant’s Securities.</w:t>
              </w:r>
            </w:hyperlink>
          </w:p>
        </w:tc>
        <w:tc>
          <w:tcPr>
            <w:tcW w:w="1120" w:type="dxa"/>
            <w:vAlign w:val="bottom"/>
            <w:tcBorders>
              <w:top w:val="single" w:sz="8" w:color="0000EE"/>
            </w:tcBorders>
          </w:tcPr>
          <w:p>
            <w:pPr>
              <w:spacing w:after="0"/>
              <w:rPr>
                <w:sz w:val="24"/>
                <w:szCs w:val="24"/>
                <w:color w:val="auto"/>
              </w:rPr>
            </w:pPr>
          </w:p>
        </w:tc>
        <w:tc>
          <w:tcPr>
            <w:tcW w:w="640" w:type="dxa"/>
            <w:vAlign w:val="bottom"/>
            <w:gridSpan w:val="12"/>
          </w:tcPr>
          <w:p>
            <w:pPr>
              <w:spacing w:after="0"/>
              <w:rPr>
                <w:sz w:val="24"/>
                <w:szCs w:val="24"/>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10-K/A</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001-38433</w:t>
            </w: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4.1</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4/12/2024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4500" w:type="dxa"/>
            <w:vAlign w:val="bottom"/>
            <w:gridSpan w:val="23"/>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Opinion of Goodwin Procter LLP</w:t>
              </w:r>
            </w:hyperlink>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333-278829</w:t>
            </w: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5.1</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4/19/2024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500" w:type="dxa"/>
            <w:vAlign w:val="bottom"/>
            <w:gridSpan w:val="23"/>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Subscription Agreement, dated November 16, 2023, by</w:t>
              </w:r>
            </w:hyperlink>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001-38433</w:t>
            </w: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10.1</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3/26/2024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and among Q32 Bio Operations Inc. (formerly Q32 Bio</w:t>
              </w:r>
            </w:hyperlink>
          </w:p>
        </w:tc>
        <w:tc>
          <w:tcPr>
            <w:tcW w:w="20" w:type="dxa"/>
            <w:vAlign w:val="bottom"/>
            <w:tcBorders>
              <w:top w:val="single" w:sz="8" w:color="0000EE"/>
            </w:tcBorders>
          </w:tcPr>
          <w:p>
            <w:pPr>
              <w:spacing w:after="0"/>
              <w:rPr>
                <w:sz w:val="17"/>
                <w:szCs w:val="17"/>
                <w:color w:val="auto"/>
              </w:rPr>
            </w:pPr>
          </w:p>
        </w:tc>
        <w:tc>
          <w:tcPr>
            <w:tcW w:w="480" w:type="dxa"/>
            <w:vAlign w:val="bottom"/>
            <w:gridSpan w:val="9"/>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500" w:type="dxa"/>
            <w:vAlign w:val="bottom"/>
            <w:gridSpan w:val="23"/>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Inc.) and certain parties thereto.</w:t>
              </w:r>
            </w:hyperlink>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Registration Rights Agreement, dated March 25, 2024, by</w:t>
              </w:r>
            </w:hyperlink>
          </w:p>
        </w:tc>
        <w:tc>
          <w:tcPr>
            <w:tcW w:w="280" w:type="dxa"/>
            <w:vAlign w:val="bottom"/>
            <w:gridSpan w:val="4"/>
          </w:tcPr>
          <w:p>
            <w:pPr>
              <w:spacing w:after="0"/>
              <w:rPr>
                <w:sz w:val="24"/>
                <w:szCs w:val="24"/>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001-38433</w:t>
            </w: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10.2</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3/26/2024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0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and among Q32 Bio Operations Inc. (formerly Q32 Bio</w:t>
              </w:r>
            </w:hyperlink>
          </w:p>
        </w:tc>
        <w:tc>
          <w:tcPr>
            <w:tcW w:w="500" w:type="dxa"/>
            <w:vAlign w:val="bottom"/>
            <w:gridSpan w:val="10"/>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500" w:type="dxa"/>
            <w:vAlign w:val="bottom"/>
            <w:gridSpan w:val="23"/>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Inc.) and certain parties thereto.</w:t>
              </w:r>
            </w:hyperlink>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28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Lock-Up Agreement.</w:t>
              </w:r>
            </w:hyperlink>
          </w:p>
        </w:tc>
        <w:tc>
          <w:tcPr>
            <w:tcW w:w="2220" w:type="dxa"/>
            <w:vAlign w:val="bottom"/>
            <w:gridSpan w:val="16"/>
          </w:tcPr>
          <w:p>
            <w:pPr>
              <w:spacing w:after="0"/>
              <w:rPr>
                <w:sz w:val="24"/>
                <w:szCs w:val="24"/>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001-38433</w:t>
            </w: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10.3</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3/26/2024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8"/>
              </w:rPr>
            </w:pPr>
            <w:hyperlink r:id="rId75">
              <w:r>
                <w:rPr>
                  <w:rFonts w:ascii="Times New Roman" w:cs="Times New Roman" w:eastAsia="Times New Roman" w:hAnsi="Times New Roman"/>
                  <w:sz w:val="18"/>
                  <w:szCs w:val="18"/>
                  <w:color w:val="0000EE"/>
                  <w:w w:val="98"/>
                </w:rPr>
                <w:t>Contingent Value Rights Agreement dated March 23, 2024,</w:t>
              </w:r>
            </w:hyperlink>
          </w:p>
        </w:tc>
        <w:tc>
          <w:tcPr>
            <w:tcW w:w="220" w:type="dxa"/>
            <w:vAlign w:val="bottom"/>
          </w:tcPr>
          <w:p>
            <w:pPr>
              <w:spacing w:after="0"/>
              <w:rPr>
                <w:sz w:val="24"/>
                <w:szCs w:val="24"/>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001-38433</w:t>
            </w: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10.4</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3/26/2024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500" w:type="dxa"/>
            <w:vAlign w:val="bottom"/>
            <w:gridSpan w:val="23"/>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by and between Homology Medicines Inc. and Equiniti</w:t>
              </w:r>
            </w:hyperlink>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75">
              <w:r>
                <w:rPr>
                  <w:rFonts w:ascii="Times New Roman" w:cs="Times New Roman" w:eastAsia="Times New Roman" w:hAnsi="Times New Roman"/>
                  <w:sz w:val="18"/>
                  <w:szCs w:val="18"/>
                  <w:color w:val="0000EE"/>
                  <w:w w:val="97"/>
                </w:rPr>
                <w:t>Trust Company, LLC.</w:t>
              </w:r>
            </w:hyperlink>
          </w:p>
        </w:tc>
        <w:tc>
          <w:tcPr>
            <w:tcW w:w="2400" w:type="dxa"/>
            <w:vAlign w:val="bottom"/>
            <w:tcBorders>
              <w:top w:val="single" w:sz="8" w:color="0000EE"/>
            </w:tcBorders>
            <w:gridSpan w:val="9"/>
          </w:tcPr>
          <w:p>
            <w:pPr>
              <w:spacing w:after="0"/>
              <w:rPr>
                <w:sz w:val="17"/>
                <w:szCs w:val="17"/>
                <w:color w:val="auto"/>
              </w:rPr>
            </w:pPr>
          </w:p>
        </w:tc>
        <w:tc>
          <w:tcPr>
            <w:tcW w:w="520" w:type="dxa"/>
            <w:vAlign w:val="bottom"/>
            <w:gridSpan w:val="11"/>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0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Q32 Bio Inc. Warrant to Purchase Common Stock dated</w:t>
              </w:r>
            </w:hyperlink>
          </w:p>
        </w:tc>
        <w:tc>
          <w:tcPr>
            <w:tcW w:w="460" w:type="dxa"/>
            <w:vAlign w:val="bottom"/>
            <w:gridSpan w:val="8"/>
          </w:tcPr>
          <w:p>
            <w:pPr>
              <w:spacing w:after="0"/>
              <w:rPr>
                <w:sz w:val="24"/>
                <w:szCs w:val="24"/>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001-38433</w:t>
            </w: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10.13</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3/26/2024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500" w:type="dxa"/>
            <w:vAlign w:val="bottom"/>
            <w:gridSpan w:val="23"/>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December 11, 2020.</w:t>
              </w:r>
            </w:hyperlink>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60" w:type="dxa"/>
            <w:vAlign w:val="bottom"/>
            <w:gridSpan w:val="10"/>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0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Q32 Bio Inc. Warrant to Purchase Common Stock dated</w:t>
              </w:r>
            </w:hyperlink>
          </w:p>
        </w:tc>
        <w:tc>
          <w:tcPr>
            <w:tcW w:w="460" w:type="dxa"/>
            <w:vAlign w:val="bottom"/>
            <w:gridSpan w:val="8"/>
          </w:tcPr>
          <w:p>
            <w:pPr>
              <w:spacing w:after="0"/>
              <w:rPr>
                <w:sz w:val="24"/>
                <w:szCs w:val="24"/>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001-38433</w:t>
            </w: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10.14</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3/26/2024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77">
              <w:r>
                <w:rPr>
                  <w:rFonts w:ascii="Times New Roman" w:cs="Times New Roman" w:eastAsia="Times New Roman" w:hAnsi="Times New Roman"/>
                  <w:sz w:val="18"/>
                  <w:szCs w:val="18"/>
                  <w:color w:val="0000EE"/>
                  <w:w w:val="97"/>
                </w:rPr>
                <w:t>July 12, 2023.</w:t>
              </w:r>
            </w:hyperlink>
          </w:p>
        </w:tc>
        <w:tc>
          <w:tcPr>
            <w:tcW w:w="3480" w:type="dxa"/>
            <w:vAlign w:val="bottom"/>
            <w:gridSpan w:val="22"/>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5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Public Accounting Firm.</w:t>
            </w:r>
          </w:p>
        </w:tc>
        <w:tc>
          <w:tcPr>
            <w:tcW w:w="2260" w:type="dxa"/>
            <w:vAlign w:val="bottom"/>
            <w:tcBorders>
              <w:top w:val="single" w:sz="8" w:color="0000EE"/>
            </w:tcBorders>
            <w:gridSpan w:val="10"/>
          </w:tcPr>
          <w:p>
            <w:pPr>
              <w:spacing w:after="0"/>
              <w:rPr>
                <w:sz w:val="17"/>
                <w:szCs w:val="17"/>
                <w:color w:val="auto"/>
              </w:rPr>
            </w:pPr>
          </w:p>
        </w:tc>
        <w:tc>
          <w:tcPr>
            <w:tcW w:w="46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60"/>
          </w:cols>
          <w:pgMar w:left="320" w:top="455"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100" w:type="dxa"/>
            <w:vAlign w:val="bottom"/>
            <w:vMerge w:val="restart"/>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60" w:type="dxa"/>
            <w:vAlign w:val="bottom"/>
            <w:gridSpan w:val="3"/>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76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07"/>
        </w:trPr>
        <w:tc>
          <w:tcPr>
            <w:tcW w:w="11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0" w:type="dxa"/>
            <w:vAlign w:val="bottom"/>
            <w:gridSpan w:val="4"/>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vMerge w:val="restart"/>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4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100" w:type="dxa"/>
            <w:vAlign w:val="bottom"/>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0" w:type="dxa"/>
            <w:vAlign w:val="bottom"/>
            <w:gridSpan w:val="4"/>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7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6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380" w:type="dxa"/>
            <w:vAlign w:val="bottom"/>
            <w:gridSpan w:val="6"/>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Consent of Goodwin Procter LLP (included in Exhibit 5.1</w:t>
              </w:r>
            </w:hyperlink>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333-278829</w:t>
            </w:r>
          </w:p>
        </w:tc>
        <w:tc>
          <w:tcPr>
            <w:tcW w:w="9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23.3</w:t>
            </w:r>
          </w:p>
        </w:tc>
        <w:tc>
          <w:tcPr>
            <w:tcW w:w="13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4/19/2024</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71">
              <w:r>
                <w:rPr>
                  <w:rFonts w:ascii="Times New Roman" w:cs="Times New Roman" w:eastAsia="Times New Roman" w:hAnsi="Times New Roman"/>
                  <w:sz w:val="18"/>
                  <w:szCs w:val="18"/>
                  <w:color w:val="0000EE"/>
                  <w:w w:val="97"/>
                </w:rPr>
                <w:t>hereto).</w:t>
              </w:r>
            </w:hyperlink>
          </w:p>
        </w:tc>
        <w:tc>
          <w:tcPr>
            <w:tcW w:w="3620" w:type="dxa"/>
            <w:vAlign w:val="bottom"/>
            <w:tcBorders>
              <w:top w:val="single" w:sz="8" w:color="0000EE"/>
            </w:tcBorders>
            <w:gridSpan w:val="4"/>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380" w:type="dxa"/>
            <w:vAlign w:val="bottom"/>
            <w:gridSpan w:val="6"/>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Power of Attorney (included on signature page of the</w:t>
              </w:r>
            </w:hyperlink>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333-278829</w:t>
            </w:r>
          </w:p>
        </w:tc>
        <w:tc>
          <w:tcPr>
            <w:tcW w:w="9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24.1</w:t>
            </w:r>
          </w:p>
        </w:tc>
        <w:tc>
          <w:tcPr>
            <w:tcW w:w="13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4/19/2024</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initial filing of this Registration Statement).</w:t>
              </w:r>
            </w:hyperlink>
          </w:p>
        </w:tc>
        <w:tc>
          <w:tcPr>
            <w:tcW w:w="680" w:type="dxa"/>
            <w:vAlign w:val="bottom"/>
            <w:tcBorders>
              <w:top w:val="single" w:sz="8" w:color="0000EE"/>
            </w:tcBorders>
          </w:tcPr>
          <w:p>
            <w:pPr>
              <w:spacing w:after="0"/>
              <w:rPr>
                <w:sz w:val="17"/>
                <w:szCs w:val="17"/>
                <w:color w:val="auto"/>
              </w:rPr>
            </w:pPr>
          </w:p>
        </w:tc>
        <w:tc>
          <w:tcPr>
            <w:tcW w:w="54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1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r:id="rId80">
              <w:r>
                <w:rPr>
                  <w:rFonts w:ascii="Times New Roman" w:cs="Times New Roman" w:eastAsia="Times New Roman" w:hAnsi="Times New Roman"/>
                  <w:sz w:val="18"/>
                  <w:szCs w:val="18"/>
                  <w:color w:val="0000EE"/>
                  <w:w w:val="97"/>
                </w:rPr>
                <w:t>Filing Fee Table</w:t>
              </w:r>
            </w:hyperlink>
          </w:p>
        </w:tc>
        <w:tc>
          <w:tcPr>
            <w:tcW w:w="3200" w:type="dxa"/>
            <w:vAlign w:val="bottom"/>
            <w:gridSpan w:val="4"/>
          </w:tcPr>
          <w:p>
            <w:pPr>
              <w:spacing w:after="0"/>
              <w:rPr>
                <w:sz w:val="24"/>
                <w:szCs w:val="24"/>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333-278829</w:t>
            </w:r>
          </w:p>
        </w:tc>
        <w:tc>
          <w:tcPr>
            <w:tcW w:w="9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107</w:t>
            </w:r>
          </w:p>
        </w:tc>
        <w:tc>
          <w:tcPr>
            <w:tcW w:w="13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4/19/2024</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40" w:right="460" w:hanging="424"/>
        <w:spacing w:after="0" w:line="282"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 exhibits have been omitted pursuant to Item 601(b)(2) or 601(a)(5), as applicable, of Regulation S-K. The registrant agrees to furnish supplementally a copy of any omitted attachment to the SEC on a confidential basis upon request.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5"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560" w:right="100" w:firstLine="419"/>
        <w:spacing w:after="0" w:line="255" w:lineRule="auto"/>
        <w:tabs>
          <w:tab w:leader="none" w:pos="124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560" w:right="120" w:firstLine="419"/>
        <w:spacing w:after="0" w:line="282" w:lineRule="auto"/>
        <w:tabs>
          <w:tab w:leader="none" w:pos="129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74" w:lineRule="exact"/>
        <w:rPr>
          <w:sz w:val="20"/>
          <w:szCs w:val="20"/>
          <w:color w:val="auto"/>
        </w:rPr>
      </w:pPr>
    </w:p>
    <w:p>
      <w:pPr>
        <w:ind w:left="560" w:hanging="4"/>
        <w:spacing w:after="0" w:line="266"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560" w:right="620" w:hanging="4"/>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560" w:right="180" w:firstLine="419"/>
        <w:spacing w:after="0" w:line="282" w:lineRule="auto"/>
        <w:tabs>
          <w:tab w:leader="none" w:pos="11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560" w:right="20" w:firstLine="419"/>
        <w:spacing w:after="0" w:line="266" w:lineRule="auto"/>
        <w:tabs>
          <w:tab w:leader="none" w:pos="12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0" w:lineRule="exact"/>
        <w:rPr>
          <w:sz w:val="20"/>
          <w:szCs w:val="20"/>
          <w:color w:val="auto"/>
        </w:rPr>
      </w:pPr>
    </w:p>
    <w:p>
      <w:pPr>
        <w:ind w:left="560" w:right="140" w:hanging="4"/>
        <w:spacing w:after="0" w:line="258" w:lineRule="auto"/>
        <w:tabs>
          <w:tab w:leader="none" w:pos="81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17" w:lineRule="exact"/>
        <w:rPr>
          <w:rFonts w:ascii="Times New Roman" w:cs="Times New Roman" w:eastAsia="Times New Roman" w:hAnsi="Times New Roman"/>
          <w:sz w:val="18"/>
          <w:szCs w:val="18"/>
          <w:color w:val="auto"/>
        </w:rPr>
      </w:pPr>
    </w:p>
    <w:p>
      <w:pPr>
        <w:ind w:left="560" w:right="220" w:firstLine="419"/>
        <w:spacing w:after="0" w:line="282" w:lineRule="auto"/>
        <w:tabs>
          <w:tab w:leader="none" w:pos="1248"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560" w:firstLine="419"/>
        <w:spacing w:after="0" w:line="282" w:lineRule="auto"/>
        <w:tabs>
          <w:tab w:leader="none" w:pos="1298"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52" w:lineRule="exact"/>
        <w:rPr>
          <w:rFonts w:ascii="Times New Roman" w:cs="Times New Roman" w:eastAsia="Times New Roman" w:hAnsi="Times New Roman"/>
          <w:sz w:val="18"/>
          <w:szCs w:val="18"/>
          <w:color w:val="auto"/>
        </w:rPr>
      </w:pPr>
    </w:p>
    <w:p>
      <w:pPr>
        <w:ind w:left="540" w:right="80" w:hanging="424"/>
        <w:spacing w:after="0" w:line="258"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0" w:lineRule="exact"/>
        <w:rPr>
          <w:rFonts w:ascii="Times New Roman" w:cs="Times New Roman" w:eastAsia="Times New Roman" w:hAnsi="Times New Roman"/>
          <w:sz w:val="18"/>
          <w:szCs w:val="18"/>
          <w:color w:val="auto"/>
        </w:rPr>
      </w:pPr>
    </w:p>
    <w:p>
      <w:pPr>
        <w:ind w:left="540" w:hanging="424"/>
        <w:spacing w:after="0" w:line="254"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1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17" w:lineRule="exact"/>
        <w:rPr>
          <w:rFonts w:ascii="Times New Roman" w:cs="Times New Roman" w:eastAsia="Times New Roman" w:hAnsi="Times New Roman"/>
          <w:sz w:val="18"/>
          <w:szCs w:val="18"/>
          <w:color w:val="auto"/>
        </w:rPr>
      </w:pPr>
    </w:p>
    <w:p>
      <w:pPr>
        <w:ind w:left="560" w:right="320" w:hanging="4"/>
        <w:spacing w:after="0" w:line="282" w:lineRule="auto"/>
        <w:tabs>
          <w:tab w:leader="none" w:pos="81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00"/>
        <w:spacing w:after="0" w:line="282" w:lineRule="auto"/>
        <w:rPr>
          <w:sz w:val="20"/>
          <w:szCs w:val="20"/>
          <w:color w:val="auto"/>
        </w:rPr>
      </w:pPr>
      <w:r>
        <w:rPr>
          <w:rFonts w:ascii="Times New Roman" w:cs="Times New Roman" w:eastAsia="Times New Roman" w:hAnsi="Times New Roman"/>
          <w:sz w:val="18"/>
          <w:szCs w:val="18"/>
          <w:color w:val="auto"/>
        </w:rPr>
        <w:t>form of prospectus filed by the registrant pursuant to Rule 424(b)(1) or (4) or 497(h) under the Securities Act shall be deemed to be part of this registration statement as of the time it was declared effective.</w:t>
      </w:r>
    </w:p>
    <w:p>
      <w:pPr>
        <w:spacing w:after="0" w:line="54" w:lineRule="exact"/>
        <w:rPr>
          <w:sz w:val="20"/>
          <w:szCs w:val="20"/>
          <w:color w:val="auto"/>
        </w:rPr>
      </w:pPr>
    </w:p>
    <w:p>
      <w:pPr>
        <w:ind w:left="560" w:hanging="4"/>
        <w:spacing w:after="0" w:line="266"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0940"/>
          </w:cols>
          <w:pgMar w:left="320" w:top="455"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S-3 and has duly caused this Post-Effective Amendment No. 1 to the Registration Statement to Form S-1 on Form S-3 to be signed on its behalf by the undersigned, thereunto duly authorized, in the City of Waltham, Commonwealth of Massachusetts, on April 11, 2025.</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Q32 BIO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Jodie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Jodie Morrison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1 to the Registration Statement to Form S-1 on Form S-3 has been signed below by the following persons in the capacities and on the date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jc w:val="center"/>
              <w:ind w:right="55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540" w:type="dxa"/>
            <w:vAlign w:val="bottom"/>
            <w:tcBorders>
              <w:bottom w:val="single" w:sz="8" w:color="auto"/>
            </w:tcBorders>
          </w:tcPr>
          <w:p>
            <w:pPr>
              <w:jc w:val="center"/>
              <w:ind w:right="77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6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551"/>
              <w:spacing w:after="0"/>
              <w:rPr>
                <w:sz w:val="20"/>
                <w:szCs w:val="20"/>
                <w:color w:val="auto"/>
              </w:rPr>
            </w:pPr>
            <w:r>
              <w:rPr>
                <w:rFonts w:ascii="Times New Roman" w:cs="Times New Roman" w:eastAsia="Times New Roman" w:hAnsi="Times New Roman"/>
                <w:sz w:val="18"/>
                <w:szCs w:val="18"/>
                <w:color w:val="auto"/>
              </w:rPr>
              <w:t>/s/ Jodie Morrison</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11, 2025</w:t>
            </w:r>
          </w:p>
        </w:tc>
      </w:tr>
      <w:tr>
        <w:trPr>
          <w:trHeight w:val="228"/>
        </w:trPr>
        <w:tc>
          <w:tcPr>
            <w:tcW w:w="620" w:type="dxa"/>
            <w:vAlign w:val="bottom"/>
          </w:tcPr>
          <w:p>
            <w:pPr>
              <w:spacing w:after="0"/>
              <w:rPr>
                <w:sz w:val="19"/>
                <w:szCs w:val="19"/>
                <w:color w:val="auto"/>
              </w:rPr>
            </w:pPr>
          </w:p>
        </w:tc>
        <w:tc>
          <w:tcPr>
            <w:tcW w:w="2800" w:type="dxa"/>
            <w:vAlign w:val="bottom"/>
          </w:tcPr>
          <w:p>
            <w:pPr>
              <w:jc w:val="center"/>
              <w:ind w:right="531"/>
              <w:spacing w:after="0"/>
              <w:rPr>
                <w:sz w:val="20"/>
                <w:szCs w:val="20"/>
                <w:color w:val="auto"/>
              </w:rPr>
            </w:pPr>
            <w:r>
              <w:rPr>
                <w:rFonts w:ascii="Times New Roman" w:cs="Times New Roman" w:eastAsia="Times New Roman" w:hAnsi="Times New Roman"/>
                <w:sz w:val="18"/>
                <w:szCs w:val="18"/>
                <w:color w:val="auto"/>
              </w:rPr>
              <w:t>Jodie Morrison</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7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880" w:type="dxa"/>
            <w:vAlign w:val="bottom"/>
          </w:tcPr>
          <w:p>
            <w:pPr>
              <w:spacing w:after="0"/>
              <w:rPr>
                <w:sz w:val="19"/>
                <w:szCs w:val="19"/>
                <w:color w:val="auto"/>
              </w:rPr>
            </w:pPr>
          </w:p>
        </w:tc>
      </w:tr>
      <w:tr>
        <w:trPr>
          <w:trHeight w:val="427"/>
        </w:trPr>
        <w:tc>
          <w:tcPr>
            <w:tcW w:w="6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56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 xml:space="preserve">Chief Financial Officer and President </w:t>
            </w:r>
            <w:r>
              <w:rPr>
                <w:rFonts w:ascii="Times New Roman" w:cs="Times New Roman" w:eastAsia="Times New Roman" w:hAnsi="Times New Roman"/>
                <w:sz w:val="18"/>
                <w:szCs w:val="18"/>
                <w:i w:val="1"/>
                <w:iCs w:val="1"/>
                <w:color w:val="auto"/>
                <w:w w:val="99"/>
              </w:rPr>
              <w:t>Principal Financial Officer and</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11, 2025</w:t>
            </w:r>
          </w:p>
        </w:tc>
      </w:tr>
      <w:tr>
        <w:trPr>
          <w:trHeight w:val="228"/>
        </w:trPr>
        <w:tc>
          <w:tcPr>
            <w:tcW w:w="620" w:type="dxa"/>
            <w:vAlign w:val="bottom"/>
          </w:tcPr>
          <w:p>
            <w:pPr>
              <w:spacing w:after="0"/>
              <w:rPr>
                <w:sz w:val="19"/>
                <w:szCs w:val="19"/>
                <w:color w:val="auto"/>
              </w:rPr>
            </w:pPr>
          </w:p>
        </w:tc>
        <w:tc>
          <w:tcPr>
            <w:tcW w:w="280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w w:val="99"/>
              </w:rPr>
              <w:t>Lee Kalowski</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880" w:type="dxa"/>
            <w:vAlign w:val="bottom"/>
          </w:tcPr>
          <w:p>
            <w:pPr>
              <w:spacing w:after="0"/>
              <w:rPr>
                <w:sz w:val="19"/>
                <w:szCs w:val="19"/>
                <w:color w:val="auto"/>
              </w:rPr>
            </w:pPr>
          </w:p>
        </w:tc>
      </w:tr>
      <w:tr>
        <w:trPr>
          <w:trHeight w:val="427"/>
        </w:trPr>
        <w:tc>
          <w:tcPr>
            <w:tcW w:w="6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11, 2025</w:t>
            </w:r>
          </w:p>
        </w:tc>
      </w:tr>
      <w:tr>
        <w:trPr>
          <w:trHeight w:val="228"/>
        </w:trPr>
        <w:tc>
          <w:tcPr>
            <w:tcW w:w="620" w:type="dxa"/>
            <w:vAlign w:val="bottom"/>
          </w:tcPr>
          <w:p>
            <w:pPr>
              <w:spacing w:after="0"/>
              <w:rPr>
                <w:sz w:val="19"/>
                <w:szCs w:val="19"/>
                <w:color w:val="auto"/>
              </w:rPr>
            </w:pPr>
          </w:p>
        </w:tc>
        <w:tc>
          <w:tcPr>
            <w:tcW w:w="2800" w:type="dxa"/>
            <w:vAlign w:val="bottom"/>
          </w:tcPr>
          <w:p>
            <w:pPr>
              <w:jc w:val="center"/>
              <w:ind w:right="531"/>
              <w:spacing w:after="0"/>
              <w:rPr>
                <w:sz w:val="20"/>
                <w:szCs w:val="20"/>
                <w:color w:val="auto"/>
              </w:rPr>
            </w:pPr>
            <w:r>
              <w:rPr>
                <w:rFonts w:ascii="Times New Roman" w:cs="Times New Roman" w:eastAsia="Times New Roman" w:hAnsi="Times New Roman"/>
                <w:sz w:val="18"/>
                <w:szCs w:val="18"/>
                <w:color w:val="auto"/>
              </w:rPr>
              <w:t>David Grayzel</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6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11, 2025</w:t>
            </w:r>
          </w:p>
        </w:tc>
      </w:tr>
      <w:tr>
        <w:trPr>
          <w:trHeight w:val="228"/>
        </w:trPr>
        <w:tc>
          <w:tcPr>
            <w:tcW w:w="620" w:type="dxa"/>
            <w:vAlign w:val="bottom"/>
          </w:tcPr>
          <w:p>
            <w:pPr>
              <w:spacing w:after="0"/>
              <w:rPr>
                <w:sz w:val="19"/>
                <w:szCs w:val="19"/>
                <w:color w:val="auto"/>
              </w:rPr>
            </w:pPr>
          </w:p>
        </w:tc>
        <w:tc>
          <w:tcPr>
            <w:tcW w:w="280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w w:val="99"/>
              </w:rPr>
              <w:t>Diyong Xu</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6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11, 2025</w:t>
            </w:r>
          </w:p>
        </w:tc>
      </w:tr>
      <w:tr>
        <w:trPr>
          <w:trHeight w:val="228"/>
        </w:trPr>
        <w:tc>
          <w:tcPr>
            <w:tcW w:w="620" w:type="dxa"/>
            <w:vAlign w:val="bottom"/>
          </w:tcPr>
          <w:p>
            <w:pPr>
              <w:spacing w:after="0"/>
              <w:rPr>
                <w:sz w:val="19"/>
                <w:szCs w:val="19"/>
                <w:color w:val="auto"/>
              </w:rPr>
            </w:pPr>
          </w:p>
        </w:tc>
        <w:tc>
          <w:tcPr>
            <w:tcW w:w="280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rPr>
              <w:t>Isaac Manke</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6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11, 2025</w:t>
            </w:r>
          </w:p>
        </w:tc>
      </w:tr>
      <w:tr>
        <w:trPr>
          <w:trHeight w:val="228"/>
        </w:trPr>
        <w:tc>
          <w:tcPr>
            <w:tcW w:w="620" w:type="dxa"/>
            <w:vAlign w:val="bottom"/>
          </w:tcPr>
          <w:p>
            <w:pPr>
              <w:spacing w:after="0"/>
              <w:rPr>
                <w:sz w:val="19"/>
                <w:szCs w:val="19"/>
                <w:color w:val="auto"/>
              </w:rPr>
            </w:pPr>
          </w:p>
        </w:tc>
        <w:tc>
          <w:tcPr>
            <w:tcW w:w="2800" w:type="dxa"/>
            <w:vAlign w:val="bottom"/>
          </w:tcPr>
          <w:p>
            <w:pPr>
              <w:jc w:val="center"/>
              <w:ind w:right="531"/>
              <w:spacing w:after="0"/>
              <w:rPr>
                <w:sz w:val="20"/>
                <w:szCs w:val="20"/>
                <w:color w:val="auto"/>
              </w:rPr>
            </w:pPr>
            <w:r>
              <w:rPr>
                <w:rFonts w:ascii="Times New Roman" w:cs="Times New Roman" w:eastAsia="Times New Roman" w:hAnsi="Times New Roman"/>
                <w:sz w:val="18"/>
                <w:szCs w:val="18"/>
                <w:color w:val="auto"/>
                <w:w w:val="99"/>
              </w:rPr>
              <w:t>Arthur Tzianabos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6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11, 2025</w:t>
            </w:r>
          </w:p>
        </w:tc>
      </w:tr>
      <w:tr>
        <w:trPr>
          <w:trHeight w:val="228"/>
        </w:trPr>
        <w:tc>
          <w:tcPr>
            <w:tcW w:w="620" w:type="dxa"/>
            <w:vAlign w:val="bottom"/>
          </w:tcPr>
          <w:p>
            <w:pPr>
              <w:spacing w:after="0"/>
              <w:rPr>
                <w:sz w:val="19"/>
                <w:szCs w:val="19"/>
                <w:color w:val="auto"/>
              </w:rPr>
            </w:pPr>
          </w:p>
        </w:tc>
        <w:tc>
          <w:tcPr>
            <w:tcW w:w="2800" w:type="dxa"/>
            <w:vAlign w:val="bottom"/>
          </w:tcPr>
          <w:p>
            <w:pPr>
              <w:jc w:val="center"/>
              <w:ind w:right="531"/>
              <w:spacing w:after="0"/>
              <w:rPr>
                <w:sz w:val="20"/>
                <w:szCs w:val="20"/>
                <w:color w:val="auto"/>
              </w:rPr>
            </w:pPr>
            <w:r>
              <w:rPr>
                <w:rFonts w:ascii="Times New Roman" w:cs="Times New Roman" w:eastAsia="Times New Roman" w:hAnsi="Times New Roman"/>
                <w:sz w:val="18"/>
                <w:szCs w:val="18"/>
                <w:color w:val="auto"/>
                <w:w w:val="99"/>
              </w:rPr>
              <w:t>Kathleen LaPorte</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6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11, 2025</w:t>
            </w:r>
          </w:p>
        </w:tc>
      </w:tr>
      <w:tr>
        <w:trPr>
          <w:trHeight w:val="228"/>
        </w:trPr>
        <w:tc>
          <w:tcPr>
            <w:tcW w:w="620" w:type="dxa"/>
            <w:vAlign w:val="bottom"/>
          </w:tcPr>
          <w:p>
            <w:pPr>
              <w:spacing w:after="0"/>
              <w:rPr>
                <w:sz w:val="19"/>
                <w:szCs w:val="19"/>
                <w:color w:val="auto"/>
              </w:rPr>
            </w:pPr>
          </w:p>
        </w:tc>
        <w:tc>
          <w:tcPr>
            <w:tcW w:w="2800" w:type="dxa"/>
            <w:vAlign w:val="bottom"/>
          </w:tcPr>
          <w:p>
            <w:pPr>
              <w:jc w:val="center"/>
              <w:ind w:right="531"/>
              <w:spacing w:after="0"/>
              <w:rPr>
                <w:sz w:val="20"/>
                <w:szCs w:val="20"/>
                <w:color w:val="auto"/>
              </w:rPr>
            </w:pPr>
            <w:r>
              <w:rPr>
                <w:rFonts w:ascii="Times New Roman" w:cs="Times New Roman" w:eastAsia="Times New Roman" w:hAnsi="Times New Roman"/>
                <w:sz w:val="18"/>
                <w:szCs w:val="18"/>
                <w:color w:val="auto"/>
              </w:rPr>
              <w:t>Mary Thistle</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6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11, 2025</w:t>
            </w:r>
          </w:p>
        </w:tc>
      </w:tr>
      <w:tr>
        <w:trPr>
          <w:trHeight w:val="228"/>
        </w:trPr>
        <w:tc>
          <w:tcPr>
            <w:tcW w:w="620" w:type="dxa"/>
            <w:vAlign w:val="bottom"/>
          </w:tcPr>
          <w:p>
            <w:pPr>
              <w:spacing w:after="0"/>
              <w:rPr>
                <w:sz w:val="19"/>
                <w:szCs w:val="19"/>
                <w:color w:val="auto"/>
              </w:rPr>
            </w:pPr>
          </w:p>
        </w:tc>
        <w:tc>
          <w:tcPr>
            <w:tcW w:w="2800" w:type="dxa"/>
            <w:vAlign w:val="bottom"/>
          </w:tcPr>
          <w:p>
            <w:pPr>
              <w:jc w:val="center"/>
              <w:ind w:right="531"/>
              <w:spacing w:after="0"/>
              <w:rPr>
                <w:sz w:val="20"/>
                <w:szCs w:val="20"/>
                <w:color w:val="auto"/>
              </w:rPr>
            </w:pPr>
            <w:r>
              <w:rPr>
                <w:rFonts w:ascii="Times New Roman" w:cs="Times New Roman" w:eastAsia="Times New Roman" w:hAnsi="Times New Roman"/>
                <w:sz w:val="18"/>
                <w:szCs w:val="18"/>
                <w:color w:val="auto"/>
              </w:rPr>
              <w:t>Mark Iwicki</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6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11, 2025</w:t>
            </w:r>
          </w:p>
        </w:tc>
      </w:tr>
      <w:tr>
        <w:trPr>
          <w:trHeight w:val="228"/>
        </w:trPr>
        <w:tc>
          <w:tcPr>
            <w:tcW w:w="620" w:type="dxa"/>
            <w:vAlign w:val="bottom"/>
          </w:tcPr>
          <w:p>
            <w:pPr>
              <w:spacing w:after="0"/>
              <w:rPr>
                <w:sz w:val="19"/>
                <w:szCs w:val="19"/>
                <w:color w:val="auto"/>
              </w:rPr>
            </w:pPr>
          </w:p>
        </w:tc>
        <w:tc>
          <w:tcPr>
            <w:tcW w:w="280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w w:val="98"/>
              </w:rPr>
              <w:t>Bill Lundberg</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6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Jodie Morrison</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2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Jodie Morrison</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64"/>
        </w:trPr>
        <w:tc>
          <w:tcPr>
            <w:tcW w:w="6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II-7</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Post-Effective Amendment No. 1 to Form S-1 on Form S-3 Registration Statement (File No. 333-278829) and related Prospectus of Q32 Bio Inc. for the registration of 1,682,045 shares of its common stock and to the incorporation by reference therein of our report dated March 11, 2025, with respect to the consolidated financial statements of Q32 Bio Inc. included in its Annual Report (Form 10-K) for the year ended December 31, 2024, filed with the Securities and Exchange Commission.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8"/>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78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9">
    <w:nsid w:val="333AB105"/>
    <w:multiLevelType w:val="hybridMultilevel"/>
    <w:lvl w:ilvl="0">
      <w:lvlJc w:val="left"/>
      <w:lvlText w:val="(%1)"/>
      <w:numFmt w:val="decimal"/>
      <w:start w:val="2"/>
    </w:lvl>
    <w:lvl w:ilvl="1">
      <w:lvlJc w:val="left"/>
      <w:lvlText w:val="(%2)"/>
      <w:numFmt w:val="lowerRoman"/>
      <w:start w:val="1"/>
    </w:lvl>
  </w:abstractNum>
  <w:abstractNum w:abstractNumId="20">
    <w:nsid w:val="721DA317"/>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21">
    <w:nsid w:val="2443A858"/>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2">
    <w:nsid w:val="2D1D5AE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jpe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78"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49" Type="http://schemas.openxmlformats.org/officeDocument/2006/relationships/hyperlink" Target="http://www.sec.gov/ix?doc=/Archives/edgar/data/1661998/000095017025036823/qttb-20241231.htm" TargetMode="External"/><Relationship Id="rId51" Type="http://schemas.openxmlformats.org/officeDocument/2006/relationships/hyperlink" Target="http://www.sec.gov/ix?doc=/Archives/edgar/data/1661998/000095017025017075/qttb-20250210.htm" TargetMode="External"/><Relationship Id="rId52" Type="http://schemas.openxmlformats.org/officeDocument/2006/relationships/hyperlink" Target="http://www.sec.gov/ix?doc=/Archives/edgar/data/1661998/000119312525050372/d931400d8k.htm" TargetMode="External"/><Relationship Id="rId53" Type="http://schemas.openxmlformats.org/officeDocument/2006/relationships/hyperlink" Target="http://www.sec.gov/Archives/edgar/data/1661998/000119312518086568/d547147d8a12b.htm" TargetMode="External"/><Relationship Id="rId54" Type="http://schemas.openxmlformats.org/officeDocument/2006/relationships/hyperlink" Target="http://www.sec.gov/Archives/edgar/data/1661998/000119312524094768/d800222dex41.htm" TargetMode="External"/><Relationship Id="rId66" Type="http://schemas.openxmlformats.org/officeDocument/2006/relationships/hyperlink" Target="http://www.sec.gov/Archives/edgar/data/1661998/000119312523296880/d938280dex21.htm" TargetMode="External"/><Relationship Id="rId67" Type="http://schemas.openxmlformats.org/officeDocument/2006/relationships/hyperlink" Target="http://www.sec.gov/Archives/edgar/data/1661998/000119312518106196/d535307dex31.htm" TargetMode="External"/><Relationship Id="rId68" Type="http://schemas.openxmlformats.org/officeDocument/2006/relationships/hyperlink" Target="http://www.sec.gov/Archives/edgar/data/1661998/000119312524077930/d811189dex31.htm" TargetMode="External"/><Relationship Id="rId69" Type="http://schemas.openxmlformats.org/officeDocument/2006/relationships/hyperlink" Target="http://www.sec.gov/Archives/edgar/data/1661998/000119312524077930/d811189dex32.htm" TargetMode="External"/><Relationship Id="rId70" Type="http://schemas.openxmlformats.org/officeDocument/2006/relationships/hyperlink" Target="http://www.sec.gov/Archives/edgar/data/1661998/000119312520321448/d69248dex31.htm" TargetMode="External"/><Relationship Id="rId71" Type="http://schemas.openxmlformats.org/officeDocument/2006/relationships/hyperlink" Target="http://www.sec.gov/Archives/edgar/data/1661998/000119312524102858/d773213dex51.htm" TargetMode="External"/><Relationship Id="rId72" Type="http://schemas.openxmlformats.org/officeDocument/2006/relationships/hyperlink" Target="http://www.sec.gov/Archives/edgar/data/1661998/000119312524077930/d811189dex101.htm" TargetMode="External"/><Relationship Id="rId73" Type="http://schemas.openxmlformats.org/officeDocument/2006/relationships/hyperlink" Target="http://www.sec.gov/Archives/edgar/data/1661998/000119312524077930/d811189dex102.htm" TargetMode="External"/><Relationship Id="rId74" Type="http://schemas.openxmlformats.org/officeDocument/2006/relationships/hyperlink" Target="http://www.sec.gov/Archives/edgar/data/1661998/000119312524077930/d811189dex103.htm" TargetMode="External"/><Relationship Id="rId75" Type="http://schemas.openxmlformats.org/officeDocument/2006/relationships/hyperlink" Target="http://www.sec.gov/Archives/edgar/data/1661998/000119312524077930/d811189dex104.htm" TargetMode="External"/><Relationship Id="rId76" Type="http://schemas.openxmlformats.org/officeDocument/2006/relationships/hyperlink" Target="http://www.sec.gov/Archives/edgar/data/1661998/000119312524077930/d811189dex1013.htm" TargetMode="External"/><Relationship Id="rId77" Type="http://schemas.openxmlformats.org/officeDocument/2006/relationships/hyperlink" Target="http://www.sec.gov/Archives/edgar/data/1661998/000119312524077930/d811189dex1014.htm" TargetMode="External"/><Relationship Id="rId79" Type="http://schemas.openxmlformats.org/officeDocument/2006/relationships/hyperlink" Target="http://www.sec.gov/ix?doc=/Archives/edgar/data/1661998/000119312524102858/d773213ds1.htm#sig" TargetMode="External"/><Relationship Id="rId80" Type="http://schemas.openxmlformats.org/officeDocument/2006/relationships/hyperlink" Target="http://www.sec.gov/Archives/edgar/data/1661998/000119312524102858/d773213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2025-04-11T19:14:52Z</dcterms:created>
  <dcterms:modified xsi:type="dcterms:W3CDTF">2025-04-11T19:14:52Z</dcterms:modified>
</cp:coreProperties>
</file>