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9271d424b3.htm"/>
        <w:bookmarkStart w:id="1" w:name="ksd119271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424(b)(3) </w:t>
        <w:br/>
        <w:t xml:space="preserve">Registration No. 333-297538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297305" cy="2895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97305" cy="2895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Up to 6,875,000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proposed offer and resale or other disposition from time to time by the selling stockholders identified in this prospectus, or collectively the selling stockholders, of up to an aggregate of 6,875,000 shares of our common stock, par value $0.0001 per share, or the common stock, consisting of (i) 6,725,000 shares of common stock and (ii) 150,000 shares of common stock issuable upon exercise of pre-funded warrants. The common stock and the pre-funded warrants were issued in a private placement, pursuant to a securities purchase agreement, dated May 26, 2026, by and among us and the selling stockholders. </w:t>
      </w:r>
    </w:p>
    <w:p>
      <w:pPr>
        <w:pStyle w:val="TextBody"/>
        <w:bidi w:val="0"/>
        <w:spacing w:before="240" w:after="0"/>
        <w:jc w:val="left"/>
        <w:rPr>
          <w:rFonts w:ascii="Times New Roman" w:hAnsi="Times New Roman"/>
          <w:sz w:val="20"/>
        </w:rPr>
      </w:pPr>
      <w:r>
        <w:rPr>
          <w:rFonts w:ascii="Times New Roman" w:hAnsi="Times New Roman"/>
          <w:sz w:val="20"/>
        </w:rPr>
        <w:t>We are registering the resale of the shares of common stock pursuant to the selling stockholders’ registration rights under a registration rights agreement between us and the selling stockholders. Our registration of the resale of the shares of common stock covered by this prospectus does not mean that the selling stockholders will offer or sell all or any of the shares of common stock. The selling stockholders may offer, sell or distribute all or a portion of their shares of common stock from time to time directly or indirectly through one or more underwriters, broker-dealers or agents, and in one or more public or private transactions.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See the section entitled “</w:t>
      </w:r>
      <w:r>
        <w:rPr>
          <w:rFonts w:ascii="Times New Roman" w:hAnsi="Times New Roman"/>
          <w:i/>
          <w:sz w:val="20"/>
        </w:rPr>
        <w:t>Plan of Distribution</w:t>
      </w:r>
      <w:r>
        <w:rPr>
          <w:rFonts w:ascii="Times New Roman" w:hAnsi="Times New Roman"/>
          <w:sz w:val="20"/>
        </w:rPr>
        <w:t xml:space="preserve">”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any sale of common stock by the selling stockholders pursuant to this prospectus. However, we may receive nominal proceeds from the exercise of the pre-funded warrants if the holders exercise the pre-funded warrants for cash. We have agreed to bear the expenses in connection with the registration of the resale of the shares of common stock to be offered by this prospectus by the selling stockholders other than any underwriting discounts and commissions and all similar fees and commissions relating to the sale of common stock, which will be borne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Capital Market, or Nasdaq, under the symbol “QTTB.” On July 27, 2026, the closing price for our common stock, as reported on Nasdaq, was $15.21 per share.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we are a smaller reporting company as defined under Rule 405 of the Securities Act of 1933, as amended, or the Securities Act, and, as such, are subject to certain reduced public company reporting requirements. See “Prospectus Summary—Implications of Being a Smaller Reporting Company” on page 5 of this prospectus. </w:t>
      </w:r>
    </w:p>
    <w:p>
      <w:pPr>
        <w:pStyle w:val="TextBody"/>
        <w:bidi w:val="0"/>
        <w:spacing w:before="240" w:after="0"/>
        <w:jc w:val="left"/>
        <w:rPr/>
      </w:pPr>
      <w:r>
        <w:rPr>
          <w:rFonts w:ascii="Times New Roman" w:hAnsi="Times New Roman"/>
          <w:b/>
          <w:sz w:val="24"/>
        </w:rPr>
        <w:t>Investing in our securities involves certain risks. See the section entitled “</w:t>
      </w:r>
      <w:hyperlink w:anchor="toc119271_5">
        <w:r>
          <w:rPr>
            <w:rStyle w:val="InternetLink"/>
            <w:rFonts w:ascii="Times New Roman" w:hAnsi="Times New Roman"/>
            <w:b/>
            <w:sz w:val="24"/>
          </w:rPr>
          <w:t>Risk Factors</w:t>
        </w:r>
      </w:hyperlink>
      <w:r>
        <w:rPr>
          <w:rFonts w:ascii="Times New Roman" w:hAnsi="Times New Roman"/>
          <w:b/>
          <w:sz w:val="24"/>
        </w:rPr>
        <w:t xml:space="preserve">” beginning on page 7 of this prospectus, in any applicable prospectus supplement and any related free writing prospectus, and in our SEC filings that are incorporated by reference herein. You should read the entire prospectus carefully before you make your investment decision.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July 28,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1927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19271_2">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19271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19271_4">
              <w:r>
                <w:rPr>
                  <w:rStyle w:val="InternetLink"/>
                  <w:rFonts w:ascii="Times New Roman" w:hAnsi="Times New Roman"/>
                  <w:sz w:val="20"/>
                </w:rPr>
                <w:t>THE OFFERING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19271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19271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19271_7">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19271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19271_9">
              <w:r>
                <w:rPr>
                  <w:rStyle w:val="InternetLink"/>
                  <w:rFonts w:ascii="Times New Roman" w:hAnsi="Times New Roman"/>
                  <w:sz w:val="20"/>
                </w:rPr>
                <w:t>MATERIAL UNITED STATES FEDERAL INCOME TAX CONSIDERATIONS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19271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19271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19271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19271_1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19271_14">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19271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utilizing a “shelf” registration process. Under this shelf registration process, the selling stockholders identified in this prospectus under the caption “Selling Stockholders” may, from time to time, sell up to an aggregate of 6,875,000 shares of common stock described in this prospectus, consisting of (i) 6,725,000 shares of common stock and (ii) 150,000 shares of common stock issuable upon exercise of pre-funded warrants, in one or more offerings. We are not selling any shares of common stock under this prospectus, and we will not receive any proceeds from the sale of shares of common stock offered hereby by the selling stockholders. However, we may receive nominal proceeds from the exercise of the pre-funded warrants if the holders exercise the pre-funded warrants for cash.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provided in this prospectus as well as the information incorporated by reference herein and any applicable prospectus supplement or amendment. 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 or incorporated by reference herein as described under the heading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“Company,” “we,” “our” and “us” refer, collectively to Q32 Bio Inc., a Delaware corporation, and its consolidated subsidiaries (including Legacy Q32 (as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19271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and/or incorporates by reference statements that are not historical facts and are considered forward-looking within the meaning of Section 27A of the Securities Act, and Section 21E of the Securities Exchange Act of 1934, as amended, or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 looking statements in this prospectus may include, for example,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and sustain profitability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strategies, prospects, plans, expectations or objectives of management for our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revenues, capital requirements, cash runway,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and anticipated use of our existing cash and cash equivalents;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scope or timing of the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surrounding the potential safety, efficacy, and regulatory and clinical progress of our product candidates, including bempikibart, and our anticipated milestones, timing of anticipated registrational trials, and timing of data readouts;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and maintain market acceptance and adoption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that may be derived from any of our future products or the commercial or market opportunity with respect to any of our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patent protection for our product candidates and protect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compete against other companies developing similar products to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operations, financial position, ability to raise capital to fund our operations, revenues, costs or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our key executives and to attract and retain highly qualified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protect against cyber-attacks, security breaches and other disruptions to our information technology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an effective system of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unfavorable macroeconomic conditions or market volatility resulting from global economic conditions or geopolitical developments, including fluctuating interest rates and inflation and capital market disruptions, changes in governmental agencies, government shutdowns, international tariffs, trade protection measures, public health crises, economic sanctions and potential economic slowdowns or recessions, or similar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third parties in the supply and manufacture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applicable laws and regulations, whether in the U.S. or foreign jurisdictions, and any changes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impacts of changes in the policies or regulations of the U.S. Food and Drug Administration or comparable foreign regulatory authorities regarding development, approval, and marketing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statements regarding our future economic conditions or performance, statements of belief and any statement of assumptions underlying any of the foregoing;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listed under the caption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to us at the time of this prospectus or the documents incorporated by reference herein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including those set forth in this prospectus in the section entitled “Risk Factors” and in our periodic filings with the SEC. Our SEC filings are available publicly on the SEC’s website at www.sec.gov. 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 Should one or more of the risks or uncertainties described in this prospectus, or should underlying assumptions prove incorrect, actual results and plans could differ materially from those expressed in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any accompanying prospectus supplement completely and with the understanding that our actual future results, levels of activity and performance as well as other events and circumstances may be materially different from what we expect. Except as otherwise required by applicable law, we disclaim any duty to update any forward-looking statements, all of which are expressly qualified by the statements in this section, to reflect events or circumstances after the date of this prospectus. We qualify all of our forward-looking statements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oc119271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 stage biotechnology company focused on developing innovative therapies for alopecia areata, or AA, and other autoimmune and inflammatory diseases.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Bempikibart (ADX-914), our most advanced product candidate, is a fully human anti–interleukin-7 receptor alpha antagonist monoclonal antibody designed to re-regulate adaptive immune function by potently blocking signaling mediated by interleukin-7 and thymic stromal lymphopoietin. We have completed two Phase 2a clinical trials evaluating bempikibart, SIGNAL-AA Part A, for the treatment of AA, and SIGNAL-AD, for the treatment of atopic dermatitis. In December 2024, we announced topline results from both of these trials, as well as our intention to advance bempikibart for the treatment of AA.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April 2025, we announced dosing of the first patients in Part B of the SIGNAL-AA Phase 2a clinical trial. Patients will be treated with bempikibart for 36 weeks, with follow-up out to 52 weeks. Efficacy will be evaluated on the basis of mean percentage change from baseline in Severity of Alopecia Tool, or SALT, scores as well as the proportion of subjects achieving various relative and absolute SALT score improvements at week 36, with follow-up through week 52. The trial is intended to support advancement into pivotal trials upon completion, pending review of the results.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completion of the SIGNAL-AA Part B trial through 52 weeks, eligible patients can enter an open-label extension, or OLE, period to enable longer-term follow-up and continued dosing. In May 2026, we announced that the first patient has been dosed in the OLE portion of Part B.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bempikibart, our strategy has been focused on the advancement of our proprietary tissue-targeted complement inhibitor platform. However, in February 2025, we announced a corporate restructuring to focus on the advancement of bempikibart for the treatment of patients with AA. In November 2025, we entered into an Asset Purchase Agreement with Akebia Therapeutics, Inc. or Akebia, pursuant to which we sold to Akebia substantially all of our assets related to the research, development, manufacture and commercialization of ADX-097, a Phase 2 asset from this platform. Following the asset sale, Akebia is now responsible for the future development and commercialization of ADX-097. Other assets developed from our proprietary platform include ADX-096, and C3d mAb fusions and nanobodies designed for tissue-targeted complement inhibition. We retain the rights to our wholly owned tissue-targeted complement inhibitor platform, including ADX-096, and other remaining early-stage assets, and are continuing to evaluate strategic options for these programs.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April 10, 2017. On March 25, 2024, Kenobi Merger Sub, Inc., or Merger Sub, a wholly-owned subsidiary of Homology Medicines, Inc., or Homology, completed its merger with and into Q32 Bio Operations Inc. (previously named Q32 Bio Inc. and referred to herein as Legacy Q32), with Legacy Q32 continuing as the surviving entity as a wholly-owned subsidiary of Homology. This transaction is referred to herein as the Merger. Homology changed its name to Q32 Bio Inc., and Legacy Q32, which remains as a wholly-owned subsidiary of ours, changed its name to Q32 Bio Operations, Inc. The Merger was effected pursuant to an Agreement and Plan of Merger, or the Merger Agreement, dated as of November 16, 2023, by and among Homology, Legacy Q32, and Merger Sub. Effective March 26, 2024, our common stock began trading on the Nasdaq Global Market under the trading symbol “QTTB.” Our principal executive office is located at 830 Winter Street, Waltham, Massachusetts 02451, and our telephone number is (781) 999-0232. Our website address is https://www.q32bio.com. We do not incorporate the information on or accessible through our website into this prospectus, and you should not consider any information on, or that can be accessed through, our website as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bookmarkStart w:id="6" w:name="toc119271_100"/>
      <w:bookmarkEnd w:id="6"/>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the Exchange Act. We may take advantage of certain of the scaled disclosures available to smaller reporting companies and will be able to take advantage of these scaled disclosures for so long as the market value of the common stock held by non-affiliates is less than $250.0 million measured on the last business day of our second fiscal quarter, or our annual revenue is less than $100.0 million during the most recently completed fiscal year and the market value of the common stock held by non-affiliates is less than $700.0 million measured on the last business day of our second fiscal quarter. As a result, the information in or incorporated by reference into this prospectus and that we provide to our investors in the future may be different than what you might receive from other public reporting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toc119271_4"/>
      <w:bookmarkEnd w:id="7"/>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7" w:type="dxa"/>
            <w:tcBorders/>
          </w:tcPr>
          <w:p>
            <w:pPr>
              <w:pStyle w:val="TableContents"/>
              <w:bidi w:val="0"/>
              <w:spacing w:before="0" w:after="283"/>
              <w:jc w:val="left"/>
              <w:rPr/>
            </w:pPr>
            <w:r>
              <w:rPr/>
              <w:t xml:space="preserve">Q32 Bio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8" w:type="dxa"/>
            <w:tcBorders/>
          </w:tcPr>
          <w:p>
            <w:pPr>
              <w:pStyle w:val="TableContents"/>
              <w:bidi w:val="0"/>
              <w:spacing w:before="0" w:after="283"/>
              <w:jc w:val="left"/>
              <w:rPr/>
            </w:pPr>
            <w:r>
              <w:rPr/>
              <w:t xml:space="preserve">6,875,000 shares of common stock, consisting of (i) 6,725,000 shares of common stock and (ii) 150,000 shares of common stock issuable upon exercise of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We will not receive any proceeds from the sale of the shares of common stock covered by this prospectus. However, we may receive nominal proceeds from the exercise of the pre-funded warrants if the holders exercise the pre-funded warrants for cash. See the section titled “</w:t>
            </w:r>
            <w:r>
              <w:rPr>
                <w:i/>
              </w:rPr>
              <w:t>Use of Proceeds</w:t>
            </w:r>
            <w:r>
              <w:rPr/>
              <w:t xml:space="preserve">” appearing elsewhere in this prospectus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w:t>
            </w:r>
          </w:p>
        </w:tc>
        <w:tc>
          <w:tcPr>
            <w:tcW w:w="6328" w:type="dxa"/>
            <w:tcBorders/>
          </w:tcPr>
          <w:p>
            <w:pPr>
              <w:pStyle w:val="TableContents"/>
              <w:bidi w:val="0"/>
              <w:spacing w:before="0" w:after="283"/>
              <w:jc w:val="left"/>
              <w:rPr/>
            </w:pPr>
            <w:r>
              <w:rPr/>
              <w:t xml:space="preserve">QTTB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Offering Price </w:t>
            </w:r>
          </w:p>
        </w:tc>
        <w:tc>
          <w:tcPr>
            <w:tcW w:w="6328" w:type="dxa"/>
            <w:tcBorders/>
          </w:tcPr>
          <w:p>
            <w:pPr>
              <w:pStyle w:val="TableContents"/>
              <w:bidi w:val="0"/>
              <w:spacing w:before="0" w:after="283"/>
              <w:jc w:val="left"/>
              <w:rPr/>
            </w:pPr>
            <w:r>
              <w:rPr/>
              <w:t xml:space="preserve">The selling stockholders will offer the shares of common stock offered by this prospectus at the prevailing market prices or at privately negotiated prices.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You should read the “Risk Factors” section of this prospectus and other information included and incorporated by reference in this prospectus for a discussion of factors to consider carefully before deciding to invest in shares of our common stock.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concerning the offering, see “</w:t>
      </w:r>
      <w:r>
        <w:rPr>
          <w:rFonts w:ascii="Times New Roman" w:hAnsi="Times New Roman"/>
          <w:i/>
          <w:sz w:val="20"/>
          <w:bdr w:val="single" w:sz="8" w:space="1" w:color="000000"/>
        </w:rPr>
        <w:t>Plan of Distribution</w:t>
      </w:r>
      <w:r>
        <w:rPr>
          <w:rFonts w:ascii="Times New Roman" w:hAnsi="Times New Roman"/>
          <w:sz w:val="20"/>
          <w:bdr w:val="single" w:sz="8" w:space="1" w:color="000000"/>
        </w:rPr>
        <w:t xml:space="preserve">” beginning on page 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19271_5"/>
      <w:bookmarkEnd w:id="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risks. Before you make a decision to buy our securities, in addition to the risks and uncertainties discussed above under “</w:t>
      </w:r>
      <w:r>
        <w:rPr>
          <w:rFonts w:ascii="Times New Roman" w:hAnsi="Times New Roman"/>
          <w:i/>
          <w:sz w:val="20"/>
        </w:rPr>
        <w:t>Cautionary Note Regarding Forward-Looking Statements</w:t>
      </w:r>
      <w:r>
        <w:rPr>
          <w:rFonts w:ascii="Times New Roman" w:hAnsi="Times New Roman"/>
          <w:sz w:val="20"/>
        </w:rPr>
        <w:t xml:space="preserve">,” you should carefully consider the risks factors incorporated herein by reference to our most recent Annual Report on Form 10-K and in any subsequent Quarterly Reports on Form 10-Q or Current Reports on Form 8-K we file after the date of this prospectus, all other information contained or incorporated by reference into this prospectus, as updated by our subsequent filings under the Exchange Act, and the risk factors and other information contained in any applicable prospectus supplement. We operate in a dynamic and rapidly changing industry that involves numerous risks and uncertainties.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19271_6"/>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potential resale from time to time of some or all of 6,875,000 shares of our common stock, consisting of (i) 6,725,000 shares of common stock and (ii) 150,000 shares of common stock issuable upon exercise of pre-funded warrants. The selling stockholders will receive all of the proceeds from any sale of such shares. We will not receive any proceeds from any sales of shares of our common stock by the selling stockholders. However, we may receive nominal proceeds from the exercise of the pre-funded warrants if the holders exercise the pre-funded warrants for cash.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bear the expenses in connection with the registration of the shares of common stock to be offered by this prospectus by the selling stockholders other than any underwriting discounts and commissions and all similar fees and commissions relating to the sale of common stock, which will be borne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19271_7"/>
      <w:bookmarkEnd w:id="10"/>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acquired shares of common stock and pre-funded warrants to acquire shares of common stock from us in a private placement pursuant to an exemption from registration under Section 4(a)(2) of the Securities Act, and/or Rule 506 under Regulation D promulgated thereunder. Under the registration rights agreement by and among us and the selling stockholders, we agreed to file a registration statement with the SEC for the purposes of registering for resale from time to time the shares of common stock (including the shares of common stock underlying the pre-funded warrants). </w:t>
      </w:r>
    </w:p>
    <w:p>
      <w:pPr>
        <w:pStyle w:val="TextBody"/>
        <w:bidi w:val="0"/>
        <w:spacing w:before="240" w:after="0"/>
        <w:jc w:val="left"/>
        <w:rPr>
          <w:rFonts w:ascii="Times New Roman" w:hAnsi="Times New Roman"/>
          <w:sz w:val="20"/>
        </w:rPr>
      </w:pPr>
      <w:r>
        <w:rPr>
          <w:rFonts w:ascii="Times New Roman" w:hAnsi="Times New Roman"/>
          <w:sz w:val="20"/>
        </w:rPr>
        <w:t>The table below lists the selling stockholders and other information regarding their ownership of the shares of common stock offered hereby. The pre-funded warrants include provisions that prohibit their exercise if such exercise would result in the selling stockholder beneficially owning in excess of the stated percentage therein (9.99%) elected by such selling stockholder. For purposes of the table below, we have disregarded these provisions and treat all shares of common stock underlying the pre-funded warrants as owned, and are registering for resale hereunder all such shares underlying the pre-funded warrants purchased in the PIPE (as defined below). A selling stockholder may never acquire beneficial ownership of such underlying shares, and inclusion of such underlying shares in the table below should not imply that such selling stockholder beneficially owns such shares for purposes of applicable rules and regulations of the SEC. The second column lists the number of shares of common stock beneficially owned by the selling stockholders as of July 16, 2026 unless otherwise indicated in the footnotes to the table and disregarding the beneficial ownership blocker provisions in the pre-funded warrants. The selling stockholders may have sold or transferred some or all of the common stock indicated below and may in the future sell or transfer some or all of the common stock indicated below in transactions exempt from the registration requirements of the Securities Act rather than under this prospectus. The third column lists the shares of common stock being offered by this prospectus by the selling stockholders, including the shares of common stock underlying the pre-funded warrants purchased by the selling stockholders in the PIPE. The fourth column assumes the sale of all of the shares of common stock offered by the selling stockholders pursuant to this prospectus. The selling stockholders may sell all, some or none of their shares of common stock in this offering.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indicated by the footnotes below, we believe, based on the information furnished to us, that the selling stockholders have sole voting and investment power with respect to all shares of common stock that they own, subject to applicable community property laws. 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Percentage of beneficial ownership is based on 29,763,999 shares of common stock outstanding as of July 16,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342"/>
        <w:gridCol w:w="94"/>
        <w:gridCol w:w="68"/>
        <w:gridCol w:w="1179"/>
        <w:gridCol w:w="60"/>
        <w:gridCol w:w="94"/>
        <w:gridCol w:w="60"/>
        <w:gridCol w:w="1028"/>
        <w:gridCol w:w="60"/>
        <w:gridCol w:w="94"/>
        <w:gridCol w:w="98"/>
        <w:gridCol w:w="1695"/>
        <w:gridCol w:w="98"/>
        <w:gridCol w:w="129"/>
        <w:gridCol w:w="135"/>
        <w:gridCol w:w="1056"/>
        <w:gridCol w:w="282"/>
      </w:tblGrid>
      <w:tr>
        <w:trPr/>
        <w:tc>
          <w:tcPr>
            <w:tcW w:w="2342"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342" w:type="dxa"/>
            <w:vMerge w:val="restart"/>
            <w:tcBorders/>
            <w:vAlign w:val="bottom"/>
          </w:tcPr>
          <w:p>
            <w:pPr>
              <w:pStyle w:val="TableContents"/>
              <w:bidi w:val="0"/>
              <w:spacing w:before="0" w:after="283"/>
              <w:jc w:val="left"/>
              <w:rPr>
                <w:b/>
              </w:rPr>
            </w:pPr>
            <w:r>
              <w:rPr>
                <w:b/>
              </w:rPr>
              <w:t>Name and Address of Selling Stockholders</w:t>
            </w:r>
          </w:p>
        </w:tc>
        <w:tc>
          <w:tcPr>
            <w:tcW w:w="94" w:type="dxa"/>
            <w:vMerge w:val="restart"/>
            <w:tcBorders/>
            <w:vAlign w:val="bottom"/>
          </w:tcPr>
          <w:p>
            <w:pPr>
              <w:pStyle w:val="TableContents"/>
              <w:bidi w:val="0"/>
              <w:spacing w:before="0" w:after="283"/>
              <w:jc w:val="left"/>
              <w:rPr/>
            </w:pPr>
            <w:r>
              <w:rPr/>
              <w:t> </w:t>
            </w:r>
          </w:p>
        </w:tc>
        <w:tc>
          <w:tcPr>
            <w:tcW w:w="1247"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br/>
              <w:t>Before the</w:t>
              <w:br/>
              <w:t>Offering</w:t>
            </w:r>
          </w:p>
        </w:tc>
        <w:tc>
          <w:tcPr>
            <w:tcW w:w="60" w:type="dxa"/>
            <w:vMerge w:val="restart"/>
            <w:tcBorders/>
            <w:vAlign w:val="bottom"/>
          </w:tcPr>
          <w:p>
            <w:pPr>
              <w:pStyle w:val="TableContents"/>
              <w:bidi w:val="0"/>
              <w:spacing w:before="0" w:after="283"/>
              <w:jc w:val="left"/>
              <w:rPr/>
            </w:pPr>
            <w:r>
              <w:rPr/>
              <w:t> </w:t>
            </w:r>
          </w:p>
        </w:tc>
        <w:tc>
          <w:tcPr>
            <w:tcW w:w="94" w:type="dxa"/>
            <w:vMerge w:val="restart"/>
            <w:tcBorders/>
            <w:vAlign w:val="bottom"/>
          </w:tcPr>
          <w:p>
            <w:pPr>
              <w:pStyle w:val="TableContents"/>
              <w:bidi w:val="0"/>
              <w:spacing w:before="0" w:after="283"/>
              <w:jc w:val="left"/>
              <w:rPr/>
            </w:pPr>
            <w:r>
              <w:rPr/>
              <w:t> </w:t>
            </w:r>
          </w:p>
        </w:tc>
        <w:tc>
          <w:tcPr>
            <w:tcW w:w="1088"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that May</w:t>
              <w:br/>
              <w:t>Be</w:t>
              <w:br/>
              <w:t>Offered</w:t>
              <w:br/>
              <w:t>Hereby(9)</w:t>
            </w:r>
          </w:p>
        </w:tc>
        <w:tc>
          <w:tcPr>
            <w:tcW w:w="60" w:type="dxa"/>
            <w:vMerge w:val="restart"/>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2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After the Offering</w:t>
            </w:r>
          </w:p>
        </w:tc>
        <w:tc>
          <w:tcPr>
            <w:tcW w:w="282" w:type="dxa"/>
            <w:tcBorders/>
            <w:vAlign w:val="bottom"/>
          </w:tcPr>
          <w:p>
            <w:pPr>
              <w:pStyle w:val="TableContents"/>
              <w:bidi w:val="0"/>
              <w:spacing w:before="0" w:after="283"/>
              <w:jc w:val="left"/>
              <w:rPr/>
            </w:pPr>
            <w:r>
              <w:rPr/>
              <w:t> </w:t>
            </w:r>
          </w:p>
        </w:tc>
      </w:tr>
      <w:tr>
        <w:trPr/>
        <w:tc>
          <w:tcPr>
            <w:tcW w:w="2342" w:type="dxa"/>
            <w:vMerge w:val="continue"/>
            <w:tcBorders/>
            <w:vAlign w:val="bottom"/>
          </w:tcPr>
          <w:p>
            <w:pPr>
              <w:pStyle w:val="Normal"/>
              <w:bidi w:val="0"/>
              <w:jc w:val="left"/>
              <w:rPr/>
            </w:pPr>
            <w:r>
              <w:rPr/>
            </w:r>
          </w:p>
        </w:tc>
        <w:tc>
          <w:tcPr>
            <w:tcW w:w="94" w:type="dxa"/>
            <w:vMerge w:val="continue"/>
            <w:tcBorders/>
            <w:vAlign w:val="bottom"/>
          </w:tcPr>
          <w:p>
            <w:pPr>
              <w:pStyle w:val="Normal"/>
              <w:bidi w:val="0"/>
              <w:jc w:val="left"/>
              <w:rPr/>
            </w:pPr>
            <w:r>
              <w:rPr/>
            </w:r>
          </w:p>
        </w:tc>
        <w:tc>
          <w:tcPr>
            <w:tcW w:w="1247"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94" w:type="dxa"/>
            <w:vMerge w:val="continue"/>
            <w:tcBorders>
              <w:bottom w:val="single" w:sz="8" w:space="0" w:color="000000"/>
            </w:tcBorders>
            <w:tcMar>
              <w:bottom w:w="28" w:type="dxa"/>
            </w:tcMar>
            <w:vAlign w:val="bottom"/>
          </w:tcPr>
          <w:p>
            <w:pPr>
              <w:pStyle w:val="Normal"/>
              <w:bidi w:val="0"/>
              <w:jc w:val="left"/>
              <w:rPr/>
            </w:pPr>
            <w:r>
              <w:rPr/>
            </w:r>
          </w:p>
        </w:tc>
        <w:tc>
          <w:tcPr>
            <w:tcW w:w="1088"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94" w:type="dxa"/>
            <w:tcBorders/>
            <w:vAlign w:val="bottom"/>
          </w:tcPr>
          <w:p>
            <w:pPr>
              <w:pStyle w:val="TableContents"/>
              <w:bidi w:val="0"/>
              <w:spacing w:before="0" w:after="283"/>
              <w:jc w:val="left"/>
              <w:rPr/>
            </w:pPr>
            <w:r>
              <w:rPr/>
              <w:t> </w:t>
            </w:r>
          </w:p>
        </w:tc>
        <w:tc>
          <w:tcPr>
            <w:tcW w:w="17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9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82" w:type="dxa"/>
            <w:tcBorders/>
            <w:vAlign w:val="bottom"/>
          </w:tcPr>
          <w:p>
            <w:pPr>
              <w:pStyle w:val="TableContents"/>
              <w:bidi w:val="0"/>
              <w:spacing w:before="0" w:after="283"/>
              <w:jc w:val="left"/>
              <w:rPr/>
            </w:pPr>
            <w:r>
              <w:rPr/>
              <w:t> </w:t>
            </w:r>
          </w:p>
        </w:tc>
      </w:tr>
      <w:tr>
        <w:trPr/>
        <w:tc>
          <w:tcPr>
            <w:tcW w:w="2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Biotechnology Value Fund, L.P.(1)</w:t>
            </w:r>
          </w:p>
        </w:tc>
        <w:tc>
          <w:tcPr>
            <w:tcW w:w="9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2,462,757</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1,310,052</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5" w:type="dxa"/>
            <w:tcBorders/>
            <w:shd w:fill="CCEEFF" w:val="clear"/>
            <w:vAlign w:val="bottom"/>
          </w:tcPr>
          <w:p>
            <w:pPr>
              <w:pStyle w:val="TableContents"/>
              <w:bidi w:val="0"/>
              <w:spacing w:before="0" w:after="283"/>
              <w:jc w:val="right"/>
              <w:rPr/>
            </w:pPr>
            <w:r>
              <w:rPr/>
              <w:t>1,152,705</w:t>
            </w:r>
          </w:p>
        </w:tc>
        <w:tc>
          <w:tcPr>
            <w:tcW w:w="9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3.72</w:t>
            </w:r>
          </w:p>
        </w:tc>
        <w:tc>
          <w:tcPr>
            <w:tcW w:w="282" w:type="dxa"/>
            <w:tcBorders/>
            <w:shd w:fill="CCEEFF" w:val="clear"/>
            <w:vAlign w:val="bottom"/>
          </w:tcPr>
          <w:p>
            <w:pPr>
              <w:pStyle w:val="TableContents"/>
              <w:bidi w:val="0"/>
              <w:spacing w:before="0" w:after="283"/>
              <w:jc w:val="left"/>
              <w:rPr/>
            </w:pPr>
            <w:r>
              <w:rPr/>
              <w:t>% </w:t>
            </w:r>
          </w:p>
        </w:tc>
      </w:tr>
      <w:tr>
        <w:trPr/>
        <w:tc>
          <w:tcPr>
            <w:tcW w:w="2342" w:type="dxa"/>
            <w:tcBorders/>
          </w:tcPr>
          <w:p>
            <w:pPr>
              <w:pStyle w:val="TableContents"/>
              <w:bidi w:val="0"/>
              <w:spacing w:before="0" w:after="0"/>
              <w:jc w:val="left"/>
              <w:rPr>
                <w:rFonts w:ascii="Times New Roman" w:hAnsi="Times New Roman"/>
                <w:sz w:val="20"/>
              </w:rPr>
            </w:pPr>
            <w:r>
              <w:rPr>
                <w:rFonts w:ascii="Times New Roman" w:hAnsi="Times New Roman"/>
                <w:sz w:val="20"/>
              </w:rPr>
              <w:t>Biotechnology Value Fund II, L.P.(2)</w:t>
            </w:r>
          </w:p>
        </w:tc>
        <w:tc>
          <w:tcPr>
            <w:tcW w:w="9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1,846,756</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988,301</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5" w:type="dxa"/>
            <w:tcBorders/>
            <w:vAlign w:val="bottom"/>
          </w:tcPr>
          <w:p>
            <w:pPr>
              <w:pStyle w:val="TableContents"/>
              <w:bidi w:val="0"/>
              <w:spacing w:before="0" w:after="283"/>
              <w:jc w:val="right"/>
              <w:rPr/>
            </w:pPr>
            <w:r>
              <w:rPr/>
              <w:t>858,455</w:t>
            </w:r>
          </w:p>
        </w:tc>
        <w:tc>
          <w:tcPr>
            <w:tcW w:w="9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2.80</w:t>
            </w:r>
          </w:p>
        </w:tc>
        <w:tc>
          <w:tcPr>
            <w:tcW w:w="282" w:type="dxa"/>
            <w:tcBorders/>
            <w:vAlign w:val="bottom"/>
          </w:tcPr>
          <w:p>
            <w:pPr>
              <w:pStyle w:val="TableContents"/>
              <w:bidi w:val="0"/>
              <w:spacing w:before="0" w:after="283"/>
              <w:jc w:val="left"/>
              <w:rPr/>
            </w:pPr>
            <w:r>
              <w:rPr/>
              <w:t>% </w:t>
            </w:r>
          </w:p>
        </w:tc>
      </w:tr>
      <w:tr>
        <w:trPr/>
        <w:tc>
          <w:tcPr>
            <w:tcW w:w="2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Biotechnology Value Trading Fund OS LP(3)</w:t>
            </w:r>
          </w:p>
        </w:tc>
        <w:tc>
          <w:tcPr>
            <w:tcW w:w="9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310,350</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165,060</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5" w:type="dxa"/>
            <w:tcBorders/>
            <w:shd w:fill="CCEEFF" w:val="clear"/>
            <w:vAlign w:val="bottom"/>
          </w:tcPr>
          <w:p>
            <w:pPr>
              <w:pStyle w:val="TableContents"/>
              <w:bidi w:val="0"/>
              <w:spacing w:before="0" w:after="283"/>
              <w:jc w:val="right"/>
              <w:rPr/>
            </w:pPr>
            <w:r>
              <w:rPr/>
              <w:t>145,290</w:t>
            </w:r>
          </w:p>
        </w:tc>
        <w:tc>
          <w:tcPr>
            <w:tcW w:w="9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2342" w:type="dxa"/>
            <w:tcBorders/>
          </w:tcPr>
          <w:p>
            <w:pPr>
              <w:pStyle w:val="TableContents"/>
              <w:bidi w:val="0"/>
              <w:spacing w:before="0" w:after="0"/>
              <w:jc w:val="left"/>
              <w:rPr>
                <w:rFonts w:ascii="Times New Roman" w:hAnsi="Times New Roman"/>
                <w:sz w:val="20"/>
              </w:rPr>
            </w:pPr>
            <w:r>
              <w:rPr>
                <w:rFonts w:ascii="Times New Roman" w:hAnsi="Times New Roman"/>
                <w:sz w:val="20"/>
              </w:rPr>
              <w:t>MSI BVF SPV, LLC(4)</w:t>
            </w:r>
          </w:p>
        </w:tc>
        <w:tc>
          <w:tcPr>
            <w:tcW w:w="9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71,917</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36,587</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5" w:type="dxa"/>
            <w:tcBorders/>
            <w:vAlign w:val="bottom"/>
          </w:tcPr>
          <w:p>
            <w:pPr>
              <w:pStyle w:val="TableContents"/>
              <w:bidi w:val="0"/>
              <w:spacing w:before="0" w:after="283"/>
              <w:jc w:val="right"/>
              <w:rPr/>
            </w:pPr>
            <w:r>
              <w:rPr/>
              <w:t>35,330</w:t>
            </w:r>
          </w:p>
        </w:tc>
        <w:tc>
          <w:tcPr>
            <w:tcW w:w="9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2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OrbiMed Private Investments VII, LP(5)</w:t>
            </w:r>
          </w:p>
        </w:tc>
        <w:tc>
          <w:tcPr>
            <w:tcW w:w="9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3,502,987</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1,250,000</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5" w:type="dxa"/>
            <w:tcBorders/>
            <w:shd w:fill="CCEEFF" w:val="clear"/>
            <w:vAlign w:val="bottom"/>
          </w:tcPr>
          <w:p>
            <w:pPr>
              <w:pStyle w:val="TableContents"/>
              <w:bidi w:val="0"/>
              <w:spacing w:before="0" w:after="283"/>
              <w:jc w:val="right"/>
              <w:rPr/>
            </w:pPr>
            <w:r>
              <w:rPr/>
              <w:t>2,252,987</w:t>
            </w:r>
          </w:p>
        </w:tc>
        <w:tc>
          <w:tcPr>
            <w:tcW w:w="9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7.57</w:t>
            </w:r>
          </w:p>
        </w:tc>
        <w:tc>
          <w:tcPr>
            <w:tcW w:w="282" w:type="dxa"/>
            <w:tcBorders/>
            <w:shd w:fill="CCEEFF" w:val="clear"/>
            <w:vAlign w:val="bottom"/>
          </w:tcPr>
          <w:p>
            <w:pPr>
              <w:pStyle w:val="TableContents"/>
              <w:bidi w:val="0"/>
              <w:spacing w:before="0" w:after="283"/>
              <w:jc w:val="left"/>
              <w:rPr/>
            </w:pPr>
            <w:r>
              <w:rPr/>
              <w:t>% </w:t>
            </w:r>
          </w:p>
        </w:tc>
      </w:tr>
      <w:tr>
        <w:trPr/>
        <w:tc>
          <w:tcPr>
            <w:tcW w:w="2342" w:type="dxa"/>
            <w:tcBorders/>
          </w:tcPr>
          <w:p>
            <w:pPr>
              <w:pStyle w:val="TableContents"/>
              <w:bidi w:val="0"/>
              <w:spacing w:before="0" w:after="0"/>
              <w:jc w:val="left"/>
              <w:rPr>
                <w:rFonts w:ascii="Times New Roman" w:hAnsi="Times New Roman"/>
                <w:sz w:val="20"/>
              </w:rPr>
            </w:pPr>
            <w:r>
              <w:rPr>
                <w:rFonts w:ascii="Times New Roman" w:hAnsi="Times New Roman"/>
                <w:sz w:val="20"/>
              </w:rPr>
              <w:t>OrbiMed Genesis Master Fund, L.P.(6)</w:t>
            </w:r>
          </w:p>
        </w:tc>
        <w:tc>
          <w:tcPr>
            <w:tcW w:w="9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625,000</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625,000</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5"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2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Atlas Venture Opportunity Fund III, L.P.(7)</w:t>
            </w:r>
          </w:p>
        </w:tc>
        <w:tc>
          <w:tcPr>
            <w:tcW w:w="9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625,000</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625,000</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5"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2342" w:type="dxa"/>
            <w:tcBorders/>
          </w:tcPr>
          <w:p>
            <w:pPr>
              <w:pStyle w:val="TableContents"/>
              <w:bidi w:val="0"/>
              <w:spacing w:before="0" w:after="0"/>
              <w:jc w:val="left"/>
              <w:rPr>
                <w:rFonts w:ascii="Times New Roman" w:hAnsi="Times New Roman"/>
                <w:sz w:val="20"/>
              </w:rPr>
            </w:pPr>
            <w:r>
              <w:rPr>
                <w:rFonts w:ascii="Times New Roman" w:hAnsi="Times New Roman"/>
                <w:sz w:val="20"/>
              </w:rPr>
              <w:t>RA Capital Healthcare Fund, L.P.(8)</w:t>
            </w:r>
          </w:p>
        </w:tc>
        <w:tc>
          <w:tcPr>
            <w:tcW w:w="9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5,072,183</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1,875,000</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5" w:type="dxa"/>
            <w:tcBorders/>
            <w:vAlign w:val="bottom"/>
          </w:tcPr>
          <w:p>
            <w:pPr>
              <w:pStyle w:val="TableContents"/>
              <w:bidi w:val="0"/>
              <w:spacing w:before="0" w:after="283"/>
              <w:jc w:val="right"/>
              <w:rPr/>
            </w:pPr>
            <w:r>
              <w:rPr/>
              <w:t>3,197,183</w:t>
            </w:r>
          </w:p>
        </w:tc>
        <w:tc>
          <w:tcPr>
            <w:tcW w:w="9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9.84</w:t>
            </w:r>
          </w:p>
        </w:tc>
        <w:tc>
          <w:tcPr>
            <w:tcW w:w="28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listed under “Number of Shares Beneficially Owned Before the Offering” consists of (i) 1,231,449 shares of common stock held of record, (ii) 78,603 shares of common stock issuable upon exercise of the pre-funded warrants purchased in the PIPE and (iii) 1,152,705 shares of common stock issuable upon exercise of pre-funded warrants otherwise acquired. BVF I GP LLC, as the general partner of Biotechnology Value Fund, L.P., or BVF, may be deemed to beneficially own the securities beneficially owned by BVF. BVF GP Holdings LLC, as the sole member of BVF I GP LLC, may be deemed to beneficially own the securities beneficially owned by BVF. BVF Partners, L.P., as the investment manager of BVF, may be deemed to beneficially own the securities beneficially owned by BVF. BVF Inc., as the general partner of BVF Partners, L.P., may be deemed to beneficially own the securities beneficially owned by BVF. Mark N. Lampert, as a director and officer of BVF Inc., may be deemed to beneficially own the securities beneficially owned by BVF. Each of BVF I GP LLC, BVF GP Holdings LLC, BVF Partners, L.P., BVF Inc. and Mr. Lampert disclaims beneficial ownership of such securities except to the extent of any pecuniary interest therein. The address of BVF and Mr. Lampert is 44 Montgomery Street, Suite 4000, San Francisco, California 94104.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listed under “Number of Shares Beneficially Owned Before the Offering” consists of (i) 929,003 shares of common stock held of record, (ii) 59,298 shares of common stock issuable upon exercise of the pre-funded warrants purchased in the PIPE and (iii) 858,455 shares of common stock issuable upon exercise of pre-funded warrants otherwise acquired. BVF II GP LLC, as the general partner of Biotechnology Value Fund II, L.P., or BVF2, may be deemed to beneficially own the securities beneficially owned by BVF2. BVF GP Holdings LLC, as the sole member of BVF II GP LLC, may be deemed to beneficially own the securities beneficially owned by BVF2. BVF Partners, L.P., as the investment manager of BVF2, may be deemed to beneficially own the securities beneficially owned by BVF2. BVF Inc., as the general partner of BVF Partners, L.P., may be deemed to beneficially own the securities beneficially owned by BVF2. Mark N. Lampert, as a director and officer of BVF Inc., may be deemed to beneficially own the securities beneficially owned by BVF2. Each of BVF II GP LLC, BVF GP Holdings LLC, BVF Partners, L.P., BVF Inc. and Mr. Lampert disclaims beneficial ownership of such securities except to the extent of any pecuniary interest therein. The address of BVF2 and Mr. Lampert is 44 Montgomery Street, Suite 4000, San Francisco, California 94104.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listed under “Number of Shares Beneficially Owned Before the Offering” consists of (i) 155,156 shares of common stock held of record, (ii) 9,904 shares of common stock issuable upon exercise of the pre-funded warrants purchased in the PIPE and (iii) 145,290 shares of common stock issuable upon exercise of pre-funded warrants otherwise acquired. BVF Partners OS Ltd., as the general partner of Biotechnology Value Trading Fund OS LP, or Trading Fund OS, may be deemed to beneficially own the securities beneficially owned by Trading Fund OS. BVF Partners, L.P., as the investment manager of Trading Fund OS, may be deemed to beneficially own the securities beneficially owned by Trading Fund OS. BVF Inc., as the general partner of BVF Partners, L.P., may be deemed to beneficially own the securities beneficially owned by Trading Fund OS. Mark N. Lampert, as a director and officer of BVF Inc., may be deemed to beneficially own the securities beneficially owned by Trading Fund OS. Each of BVF Partners OS Ltd., BVF Partners, L.P., BVF Inc. and Mr. Lampert disclaims beneficial ownership of such securities except to the extent of any pecuniary interest therein. The address of Trading Fund OS and Mr. Lampert is 44 Montgomery Street, Suite 4000, San Francisco, California 94104.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listed under “Number of Shares Beneficially Owned Before the Offering” consists of (i) 34,392 shares of common stock held of record, (ii) 2,195 shares of common stock issuable upon exercise of the pre-funded warrants purchased in the PIPE and (iii) 35,330 shares of common stock issuable upon exercise of pre-funded warrants otherwise acquired. BVF Partners, L.P., as the investment manager of MSI BVF SPV, LLC, or MSI, may be deemed to beneficially own the securities beneficially owned by MSI. BVF Inc., as the general partner of BVF Partners, L.P., may be deemed to beneficially own the securities beneficially owned by MSI. Mark N. Lampert, as a director and officer of BVF Inc., may be deemed to beneficially own the securities beneficially owned by MSI. Each of BVF Partners, L.P., BVF Inc. and Mr. Lampert disclaims beneficial ownership of such securities except to the extent of any pecuniary interest therein. The address of MSI and Mr. Lampert is 44 Montgomery Street, Suite 4000, San Francisco, California 94104.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listed under “Number of Shares Beneficially Owned Before the Offering” consists of 3,502,987 shares of common stock held of record. OrbiMed Capital GP VII LLC, or GP VII, is the general partner of OrbiMed Private Investments VII, LP, or OPI VII, and OrbiMed Advisors LLC, or OrbiMed Advisors, is the managing member of GP VII. By virtue of such relationships, GP VII and OrbiMed Advisors may be deemed to have beneficial ownership over the shares held by OPI VII and as a result, may be deemed to have beneficial ownership over such securities. OrbiMed Advisors exercises investment and voting power through a management committee comprised of Carl L. Gordon, Sven H. Borho, and W. Carter Neild, each of whom disclaims beneficial ownership of the shares held by OPI VII. Diyong Xu, a member of our Board of Directors, is an employee of OrbiMed Advisors. The address for the OrbiMed entities is c/o OrbiMed Advisors LLC, 601 Lexington Avenue, 54th Floor, New York, NY 10022.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listed under “Number of Shares Beneficially Owned Before the Offering” consists of 625,000 shares of common stock held of record. OrbiMed Genesis GP LLC, or Genesis GP, is the general partner of OrbiMed Genesis Master Fund, L.P., or Genesis and OrbiMed Advisors is the managing member of Genesis GP. By virtue of such relationships, Genesis GP and OrbiMed Advisors may be deemed to have beneficial ownership over the shares held by Genesis and as a result, may be deemed to have beneficial ownership over such securities. OrbiMed Advisors exercises investment and voting power through a management committee comprised of Carl L. Gordon, Sven H. Borho, and W. Carter Neild, each of whom disclaims beneficial ownership of the shares held by Genesis. Diyong Xu, a member of our Board of Directors, is an employee of OrbiMed Advisors. The address for the OrbiMed entities is c/o OrbiMed Advisors LLC, 601 Lexington Avenue, 54th Floor, New York, New York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listed under “Number of Shares Beneficially Owned Before the Offering” consists of 625,000 shares of common stock held of record. Atlas Venture Associates Opportunity III, L.P., or AVAO III, as the general partner of Atlas Venture Opportunity Fund III, L.P., or Atlas Opportunity III, may be deemed to beneficially own the securities beneficially owned by Atlas Opportunity III. Atlas Venture Associates Opportunity III, LLC, or AVAO III LLC, as the general partner of AVAO III, may be deemed to beneficially own the securities beneficially owned by Atlas Opportunity III. AVAO III and AVAO III LLC disclaim beneficial ownership of such securities except to the extent of any pecuniary interest therein. The address of Atlas Opportunity III, AVAO III and AVAO III LLC is 300 Technology Square, 8th Floor, Cambridge, Massachusetts 02139.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listed under “Number of Shares Beneficially Owned Before the Offering” consists of (i) 2,332,457 shares of common stock held of record and (ii) 2,739,726 shares of common stock issuable upon exercise of pre-funded warrants otherwise acquired. RA Capital Management, L.P., or RA Capital, as the investment manager of RA Capital Healthcare Fund, L.P., or RA Fund, may be deemed to beneficially own the securities beneficially owned by the RA Fund. RA Capital Management GP, LLC, or RA Capital GP, as the general partner of RA Capital, may be deemed to beneficially own the securities beneficially owned by the RA Fund. Peter Kolchinsky and Rajeev Shah, as the managing members of RA Capital GP, may be deemed to beneficially own the securities beneficially owned by the RA Fund. Each of RA Capital, RA Capital GP, Mr. Kolchinsky and Mr. Shah disclaims beneficial ownership of such securities except to the extent of any pecuniary interest therein. The principal business address of RA Capital and RA Capital GP is 200 Berkeley Street, 18th Floor, Boston, Massachusetts 02116.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other shares of common stock, including, without limitation, shares of common stock acquired in the open market are being offered under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19271_8"/>
      <w:bookmarkEnd w:id="11"/>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some of the terms of our restated certificate of incorporation and amended and restated bylaws and of the Delaware General Corporation Law. This description is summarized from, and qualified in its entirety by reference to, our restated certificate of incorporation and amended and restated bylaws, each of which has been publicly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400,000,000 shares of common stock, par value $0.0001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 shares of preferred stock, par value $0.0001 per share.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Nasdaq under the symbol “QTTB.”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as amended,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as amended. See below under “—</w:t>
      </w:r>
      <w:r>
        <w:rPr>
          <w:rFonts w:ascii="Times New Roman" w:hAnsi="Times New Roman"/>
          <w:i/>
          <w:sz w:val="20"/>
        </w:rPr>
        <w:t>Anti-Takeover Effects of Delaware Law and Our Certificate of Incorporation and Bylaws—Amendment of Charter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Rights Upon Liquidation.</w:t>
      </w:r>
      <w:r>
        <w:rPr>
          <w:rFonts w:ascii="Times New Roman" w:hAnsi="Times New Roman"/>
          <w:sz w:val="20"/>
        </w:rPr>
        <w:t xml:space="preserve"> 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w:t>
      </w:r>
    </w:p>
    <w:p>
      <w:pPr>
        <w:pStyle w:val="TextBody"/>
        <w:bidi w:val="0"/>
        <w:spacing w:before="240" w:after="0"/>
        <w:jc w:val="left"/>
        <w:rPr>
          <w:rFonts w:ascii="Times New Roman" w:hAnsi="Times New Roman"/>
          <w:sz w:val="20"/>
        </w:rPr>
      </w:pPr>
      <w:r>
        <w:rPr>
          <w:rFonts w:ascii="Times New Roman" w:hAnsi="Times New Roman"/>
          <w:i/>
          <w:sz w:val="20"/>
        </w:rPr>
        <w:t>Other Rights.</w:t>
      </w:r>
      <w:r>
        <w:rPr>
          <w:rFonts w:ascii="Times New Roman" w:hAnsi="Times New Roman"/>
          <w:sz w:val="20"/>
        </w:rPr>
        <w:t xml:space="preserve"> Holders of common stock have no preemptive, subscription, redemption or conversion rights. Our outstanding shares of common stock are,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are entitled to receive proportionately any dividends as may be declared by our board of directors, subject to any preferential dividend rights of outstanding preferred stock. We have never declared or paid any cash dividends on our common stock. We do not intend to declare or pay cash dividends for the foreseeable future. We currently expect to retain all future earnings, if any, for use in 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restated certificate of incorporation, as amended, our board of directors is authorized to issue shares of preferred stock in one or more series without stockholder approval. Our board of directors have 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authorizing the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i/>
          <w:sz w:val="20"/>
        </w:rPr>
      </w:pPr>
      <w:r>
        <w:rPr>
          <w:rFonts w:ascii="Times New Roman" w:hAnsi="Times New Roman"/>
          <w:i/>
          <w:sz w:val="20"/>
        </w:rPr>
        <w:t xml:space="preserve">2024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Agreement, Legacy Q32 entered into a subscription agreement in November 2023, or the Subscription Agreement, with certain investors to consummate their purchase of shares of Legacy Q32’s common stock for an aggregate purchase price of $42.0 million, or the Pre-Closing Financing. Pursuant to the Subscription Agreement, on March 25, 2024, we entered into a registration rights agreement, or the 2024 Registration Rights Agreement, with the investors in the Pre-Closing Financing. Under the 2024 Registration Rights Agreement, among other things, we agreed to register for resale certain shares of our common stock held by such investors from time to time, including shares of our common stock issued in the Merger in exchange for the shares of Legacy Q32 common stock issued in the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2024 Registration Rights Agreement, we are obligated to prepare and file a shelf registration statement covering the resale of covered shares of our common stock within forty-five (45) calendar days following the closing of the Merger, subject to certain exceptions, pursuant to Rule 415 of the Securities Act. We also agreed to use our reasonable best efforts to keep such registration statement continuously effective under the Securities Act until the earlier of the date that all registrable securities covered by such registration statement (a) have been sold, thereunder or pursuant to Rule 144 of the Securities Act, or Rule 144, or (b) may be sold without volume or manner-of-sale restrictions pursuant to Rule 144 and without the requirement for us to be in compliance with the current public information requirement under Rule 144. The 2024 Registration Rights Agreement also provides that we will pay certain expenses of the securityholders and indemnify the applicable securityholders against certain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2026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26, 2026, we entered into a securities purchase agreement with selected investors to sell shares of common stock and pre-funded warrants to purchase shares of common stock for an aggregate purchase price of approximately $55 million, or the PIPE. In connection with the PIPE, we entered into a registration rights agreement with each of such selected investors, or the 2026 Registration Rights Agreement, pursuant to which we are required to prepare and file a registration statement with the SEC under the Securities Act, covering the resale of the shares such investors purchased in the PIPE and the shares underlying the pre-funded warrants such investors purchased in the PIPE. We are required to file such registration statement with the SEC within fifty (50) days of the closing date of the PIPE and is required to have such registration statement declared effective by the SEC in accordance with the terms of the Registration Rights Agreement. We also agreed to use our reasonable best efforts to keep such registration statement continuously effective under the Securities Act until the earlier of the date that all registrable securities covered by such registration statement (a) have been sold, thereunder, or (b) may be sold without registration and without volume or manner-of-sale restrictions pursuant to Rule 144 and without the requirement for us to be in compliance with the current public information requirement under Rule 144. The 2026 Registration Rights Agreement also provides that we will pay certain expenses of the securityholders and indemnify the applicable securityholders against certain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1, 2026, we had 1,025,654 shares of common stock issuable upon the exercise of pre-funded warrants and each of such pre-funded warrants has an initial exercise price per share equal to $0.0001. The pre-funded warrants are immediately exercisable upon issuance and may be exercised at any time until they are exercised in full. The exercise price and number of shares of common stock issuable upon exercise is subject to appropriate adjustment in the event of stock dividends and distributions, stock splits, stock combinations, reclassification, reorganizations or similar events affecting our common stock and the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A holder of the pre-funded warrants does not have the right to exercise any portion of the pre-funded warrants if the holder (together with its affiliates) would beneficially own in excess of 9.99% of the number of our shares of common stock outstanding immediately after giving effect to the exercise, as such percentage ownership is determined in accordance with the terms of the pre-funded warrants. However, any holder may increase or decrease such percentage, but in no event may such percentage be increased to more than 19.99%, provided that any increase will not be effective until the 61st day after such election. </w:t>
      </w:r>
    </w:p>
    <w:p>
      <w:pPr>
        <w:pStyle w:val="TextBody"/>
        <w:bidi w:val="0"/>
        <w:spacing w:before="240" w:after="0"/>
        <w:jc w:val="left"/>
        <w:rPr>
          <w:rFonts w:ascii="Times New Roman" w:hAnsi="Times New Roman"/>
          <w:sz w:val="20"/>
        </w:rPr>
      </w:pPr>
      <w:r>
        <w:rPr>
          <w:rFonts w:ascii="Times New Roman" w:hAnsi="Times New Roman"/>
          <w:sz w:val="20"/>
        </w:rPr>
        <w:t xml:space="preserve">The pre-funded warrants are exercisable, at the option of the holder, in whole or in part by delivering to us a duly executed exercise notice and, at any time a registration statement registering the issuance of shares of common stock underlying the pre-funded warrants under the Securities Act is effective and available for the issuance of such shares, or an exemption from registration under the Securities Act is available for the issuance of such shares, by payment in full in immediately available funds for the number of shares of common stock purchased upon such exercise. The pre-funded warrants may also be exercised, in whole or in part, at such time by means of a cashless exercise, in which case the holder would receive upon such exercise the net number of shares of common stock determined according to the formula set forth in the pre-funded warrant.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the pre-funded warrants or by virtue of such holder’s ownership of our common stock, the holder of a pre-funded warrant does not have the rights or privileges of a holder of our common stock, including any voting rights or rights to receive dividends, until the holder exercises the pre-funded warrant. </w:t>
      </w:r>
    </w:p>
    <w:p>
      <w:pPr>
        <w:pStyle w:val="TextBody"/>
        <w:bidi w:val="0"/>
        <w:spacing w:before="240" w:after="0"/>
        <w:jc w:val="left"/>
        <w:rPr>
          <w:rFonts w:ascii="Times New Roman" w:hAnsi="Times New Roman"/>
          <w:sz w:val="20"/>
        </w:rPr>
      </w:pPr>
      <w:r>
        <w:rPr>
          <w:rFonts w:ascii="Times New Roman" w:hAnsi="Times New Roman"/>
          <w:sz w:val="20"/>
        </w:rPr>
        <w:t xml:space="preserve">There is no established trading market for the pre-funded warrants and we do not expect a market to develop. In addition, we do not intend to apply for the listing of the pre-funded warrants on any national securities exchange or other trading market.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the Delaware law, our restated certificate of incorporation, as amended, and amended and restated bylaws could make the following transactions more difficult: an acquisition by means of a tender offer; an acquisition by means of a proxy contest or otherwise; or the removal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our company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it. These and other provisions may have the effect of deferring hostile takeovers or delaying changes in control or management.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a special meeting of stockholders may be called only by our chairman of the board, chief executive officer or president (in the absence of a chief executive officer), or by a resolution adopted by a majority of our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Elimination of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as amended, eliminates the right of stockholders to act by written consent without a meeting. </w:t>
      </w:r>
    </w:p>
    <w:p>
      <w:pPr>
        <w:pStyle w:val="TextBody"/>
        <w:bidi w:val="0"/>
        <w:spacing w:before="360" w:after="0"/>
        <w:jc w:val="left"/>
        <w:rPr>
          <w:rFonts w:ascii="Times New Roman" w:hAnsi="Times New Roman"/>
          <w:i/>
          <w:sz w:val="20"/>
        </w:rPr>
      </w:pPr>
      <w:r>
        <w:rPr>
          <w:rFonts w:ascii="Times New Roman" w:hAnsi="Times New Roman"/>
          <w:i/>
          <w:sz w:val="20"/>
        </w:rPr>
        <w:t xml:space="preserve">Staggered Board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our company, because it generally makes it more difficult for stockholders to replace a majority of the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as amended, and amended and restated bylaws provide that, subject to the rights of holders of any series of preferred stock, no member of our board of directors may be removed from office by our stockholders except for cause and, in addition to any other vote required by law, upon the approval of the holders of at least two-thirds in voting power of the outstanding shares of capital stock entitled to vote in the election of directors. Subject to the rights of holders of any series of preferred stock, any vacancy on our board of directors, including a vacancy resulting from an enlargement of our board of directors, may be filled only by vote of a majority of directors then in office, unless our board of directors determines by resolution that any such vacancy or newly created directorship shall be filled by our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as amended,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General Corporation Law of the State of Delaware, which prohibits persons deemed to be “interested stockholders” from engaging in a “business combination” with a publicly 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as amended, provides that, unless we consent in writing to an alternative forum,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it arising pursuant to any provision of the General Corporation Law of the State of Delaware or our restated certificate of incorporation, as amended, or amended and restated bylaws; or (4) any action asserting a claim governed by the internal affairs doctrine. Our restated certificate of incorporation, as amended,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as amended, is inapplicable or unenforceable if it is challenged in a proceeding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bylaws 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and any person or entity purchasing or otherwise acquiring or holding any interest in our shares of capital stock shall be deemed to have notice of and consented to this choice of forum provision.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of Charter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capital stock entitled to vote thereon.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our restated certificate of incorporation, as amended, and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19271_9"/>
      <w:bookmarkEnd w:id="12"/>
      <w:r>
        <w:rPr>
          <w:rFonts w:ascii="Times New Roman" w:hAnsi="Times New Roman"/>
          <w:b/>
          <w:sz w:val="20"/>
        </w:rPr>
        <w:t xml:space="preserve">MATERIAL UNITED STATES FEDERAL INCOME TAX CONSIDERATIONS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Material U.S. Federal Income Tax Consequences for Holders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discussion of certain material U.S. federal income tax consequences of the acquisition, ownership and disposition of our shares of common stock, which we refer to as our securities. This discussion applies only to securities that are held as capital assets for U.S. federal income tax purposes and is applicable only to holders who are receiving our securities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(such as the effects of Section 451 of the Code),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or financial services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governments or agencies or instrumentalities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5% or more of our voting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or traders subject to a mark-to-market method of accounting with respect to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the securities as part of a “straddle,” hedge, integrated transaction or similar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pass-through entities for U.S. federal income tax purposes and any beneficial owners of such entities;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 </w:t>
      </w:r>
    </w:p>
    <w:p>
      <w:pPr>
        <w:pStyle w:val="TextBody"/>
        <w:bidi w:val="0"/>
        <w:spacing w:before="240" w:after="0"/>
        <w:jc w:val="left"/>
        <w:rPr>
          <w:rFonts w:ascii="Times New Roman" w:hAnsi="Times New Roman"/>
          <w:sz w:val="20"/>
        </w:rPr>
      </w:pPr>
      <w:r>
        <w:rPr>
          <w:rFonts w:ascii="Times New Roman" w:hAnsi="Times New Roman"/>
          <w:sz w:val="20"/>
        </w:rPr>
        <w:t xml:space="preserve">We have not sought, and will not seek, a ruling from the Internal Revenue Service, or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consider the tax treatment of partnerships or other pass-through entities or persons who hold our securities through such entities. If a partnership (or other entity or arrangement classified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partnership or other pass-through entity for U.S. federal income tax purposes) is the beneficial owner of our securities, the U.S.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tax advisor.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ONLY A SUMMARY OF CERTAIN UNITED STATES FEDERAL INCOME TAX CONSIDERATIONS ASSOCIATED WITH THE ACQUISITION, OWNERSHIP AND DISPOSITION OF OUR SECURITIES. EACH PROSPECTIVE INVESTOR IN OUR SECURITIES IS URGED TO CONSULT ITS TAX ADVISOR WITH RESPECT TO THE PARTICULAR TAX CONSEQUENCES TO SUCH INVESTOR OF THE ACQUISITION, OWNERSHIP AND DISPOSITION OF OUR SECURITIES, INCLUDING THE APPLICABILITY AND EFFECT OF ANY UNITED STATES FEDERAL NON-INCOME, STATE AND LOCAL, AND NON-U.S.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Consequences for 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any beneficial owner of our common stock that, for U.S. federal income tax purposes, is or is treated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i/>
          <w:sz w:val="20"/>
        </w:rPr>
        <w:t>Taxation of Distributions</w:t>
      </w:r>
      <w:r>
        <w:rPr>
          <w:rFonts w:ascii="Times New Roman" w:hAnsi="Times New Roman"/>
          <w:sz w:val="20"/>
        </w:rPr>
        <w:t>. If we pay distributions in cash or other property (other than certain distributions of our stock or rights to acquire our stock) to U.S. holders of shares of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common stock. Any remaining excess will be treated as gain realized on the sale or other disposition of the common stock and will be treated as described under “</w:t>
      </w:r>
      <w:r>
        <w:rPr>
          <w:rFonts w:ascii="Times New Roman" w:hAnsi="Times New Roman"/>
          <w:i/>
          <w:sz w:val="20"/>
        </w:rPr>
        <w:t>U.S. Holders-Gain or Loss on Sale, Taxable Exchange or Other Taxable Disposition of common stock</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 </w:t>
      </w:r>
    </w:p>
    <w:p>
      <w:pPr>
        <w:pStyle w:val="TextBody"/>
        <w:bidi w:val="0"/>
        <w:spacing w:before="240" w:after="0"/>
        <w:jc w:val="left"/>
        <w:rPr>
          <w:rFonts w:ascii="Times New Roman" w:hAnsi="Times New Roman"/>
          <w:sz w:val="20"/>
        </w:rPr>
      </w:pPr>
      <w:r>
        <w:rPr>
          <w:rFonts w:ascii="Times New Roman" w:hAnsi="Times New Roman"/>
          <w:i/>
          <w:sz w:val="20"/>
        </w:rPr>
        <w:t>Gain or Loss on Sale, Taxable Exchange or Other Taxable Disposition of common stock</w:t>
      </w:r>
      <w:r>
        <w:rPr>
          <w:rFonts w:ascii="Times New Roman" w:hAnsi="Times New Roman"/>
          <w:sz w:val="20"/>
        </w:rPr>
        <w:t xml:space="preserve">. Upon a sale or other taxable disposition of common stock, a U.S. holder generally will recognize capital gain or loss in an amount equal to the difference between the amount realized and the U.S. holder’s adjusted tax basis in the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Any such capital gain or loss generally will be long-term capital gain or loss if the U.S. holder’s holding period for the common stock so disposed of exceeds one year. If the holding period requirements are not satisfied, any gain on a sale or taxable disposition of the shares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sz w:val="20"/>
        </w:rPr>
        <w:t xml:space="preserve">Generally, the amount of gain or loss recognized by a U.S. holder is an amount equal to the difference between (i) the sum of the amount of cash and the fair market value of any property received in such disposition and (ii) the U.S. holder’s adjusted tax basis in its common stock so disposed of. A U.S. holder’s adjusted tax basis in its common stock generally will equal the U.S. holder’s acquisition cost for the common stock or less, in the case of a share of common stock, any prior distributions treated as a return of capital. In the case of any shares of common stock originally acquired as part of an investment unit, the acquisition cost for the share of common stock that were part of such unit would equal an allocable portion of the acquisition cost of the unit based on the relative fair market values of the components of the unit at the time of acquisition.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In general, information reporting requirements may apply to dividends paid to a U.S. holder and to the proceeds of the sale or other disposition of our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Any amounts withheld under the backup withholding rules generally should be allowed as a refund or a credit against a U.S. holder’s U.S. federal income tax liability provided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Consequences for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This section applies to you if you are a “Non-U.S. holder.” As used herein, the term “Non-U.S. holder” means a beneficial owner of common stock who or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(other than certain former citizens and residents of the U.S. subject to U.S. tax as expatriates);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or trust that is not a U.S.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 </w:t>
      </w:r>
    </w:p>
    <w:p>
      <w:pPr>
        <w:pStyle w:val="TextBody"/>
        <w:bidi w:val="0"/>
        <w:spacing w:before="240" w:after="0"/>
        <w:jc w:val="left"/>
        <w:rPr>
          <w:rFonts w:ascii="Times New Roman" w:hAnsi="Times New Roman"/>
          <w:sz w:val="20"/>
        </w:rPr>
      </w:pPr>
      <w:r>
        <w:rPr>
          <w:rFonts w:ascii="Times New Roman" w:hAnsi="Times New Roman"/>
          <w:i/>
          <w:sz w:val="20"/>
        </w:rPr>
        <w:t>Taxation of Distributions</w:t>
      </w:r>
      <w:r>
        <w:rPr>
          <w:rFonts w:ascii="Times New Roman" w:hAnsi="Times New Roman"/>
          <w:sz w:val="20"/>
        </w:rPr>
        <w:t>. In general, any distributions we make to a Non-U.S. holder of shares of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common stock and, to the extent such distribution exceeds the Non-U.S. holder’s adjusted tax basis, as gain realized from the sale or other disposition of the common stock, which will be treated as described under “</w:t>
      </w:r>
      <w:r>
        <w:rPr>
          <w:rFonts w:ascii="Times New Roman" w:hAnsi="Times New Roman"/>
          <w:i/>
          <w:sz w:val="20"/>
        </w:rPr>
        <w:t>Non-U.S. Holders-Gain on Sale, Taxable Exchange or Other Taxable Disposition of common stock</w:t>
      </w:r>
      <w:r>
        <w:rPr>
          <w:rFonts w:ascii="Times New Roman" w:hAnsi="Times New Roman"/>
          <w:sz w:val="20"/>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withholding tax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 </w:t>
      </w:r>
    </w:p>
    <w:p>
      <w:pPr>
        <w:pStyle w:val="TextBody"/>
        <w:bidi w:val="0"/>
        <w:spacing w:before="240" w:after="0"/>
        <w:jc w:val="left"/>
        <w:rPr>
          <w:rFonts w:ascii="Times New Roman" w:hAnsi="Times New Roman"/>
          <w:sz w:val="20"/>
        </w:rPr>
      </w:pPr>
      <w:r>
        <w:rPr>
          <w:rFonts w:ascii="Times New Roman" w:hAnsi="Times New Roman"/>
          <w:i/>
          <w:sz w:val="20"/>
        </w:rPr>
        <w:t>Gain on Sale, Taxable Exchange or Other Taxable Disposition of common stock</w:t>
      </w:r>
      <w:r>
        <w:rPr>
          <w:rFonts w:ascii="Times New Roman" w:hAnsi="Times New Roman"/>
          <w:sz w:val="20"/>
        </w:rPr>
        <w:t xml:space="preserve">. A Non-U.S. holder generally will not be subject to U.S. federal income or withholding tax in respect of gain recognized on a sale, taxable exchange or other taxable disposition of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conduct of a trade or business by the Non-U.S. holder within the United States (and, under certain income tax treaties, is attributable to a United States permanent establishment or fixed base maintained by the Non-U.S. 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“U.S. real property holding corporation” for U.S. federal income tax purposes at any time during the shorter of the five-year period ending on the date of disposition or the period that the Non-U.S. holder held common stock, and, in the case where shares of common stock are regularly traded on an established securities market, the Non-U.S. holder has owned, directly or constructively, more than 5% of common stock at any time within the shorter of the five-year period preceding the disposition or such Non-U.S. holder’s holding period for the shares of common stock. There can be no assurance that common stock will be treated as regularly traded on an established securities market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 </w:t>
      </w:r>
    </w:p>
    <w:p>
      <w:pPr>
        <w:pStyle w:val="TextBody"/>
        <w:bidi w:val="0"/>
        <w:spacing w:before="240" w:after="0"/>
        <w:jc w:val="left"/>
        <w:rPr>
          <w:rFonts w:ascii="Times New Roman" w:hAnsi="Times New Roman"/>
          <w:sz w:val="20"/>
        </w:rPr>
      </w:pPr>
      <w:r>
        <w:rPr>
          <w:rFonts w:ascii="Times New Roman" w:hAnsi="Times New Roman"/>
          <w:sz w:val="20"/>
        </w:rPr>
        <w:t xml:space="preserve">If the second bullet point above applies to a Non-U.S. holder, gain recognized by such holder on the sale, exchange or other disposition of common stock will be subject to tax at generally applicable U.S. federal income tax rates.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Information returns will be filed with the IRS in connection with payments of dividends and the proceeds from a sale or other disposition of our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i/>
          <w:sz w:val="20"/>
        </w:rPr>
        <w:t>FATCA Withholding Taxes</w:t>
      </w:r>
      <w:r>
        <w:rPr>
          <w:rFonts w:ascii="Times New Roman" w:hAnsi="Times New Roman"/>
          <w:sz w:val="20"/>
        </w:rPr>
        <w:t xml:space="preserve">. Provisions commonly referred to as “FATCA” impose withholding of 30% on payments of dividends (including constructive dividends) on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Pursuant to proposed Treasury Regulations, the U.S. Treasury Department has indicated its intent to eliminate the requirement under FATCA of withholding on gross proceeds from the sale or other disposition of property of a type which can produce U.S. source dividends or interest. The U.S. Treasury Department has indicated that taxpayers may rely on these proposed Treasury Regulations pending their finalization. Foreign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119271_10"/>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exercise price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2026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19271_11"/>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common stock being offered by this prospectus has been passed upon for us by Goodwin Procter LLP, Boston, Massachusetts. </w:t>
      </w:r>
    </w:p>
    <w:p>
      <w:pPr>
        <w:pStyle w:val="TextBody"/>
        <w:bidi w:val="0"/>
        <w:spacing w:before="480" w:after="0"/>
        <w:jc w:val="center"/>
        <w:rPr>
          <w:rFonts w:ascii="Times New Roman" w:hAnsi="Times New Roman"/>
          <w:b/>
          <w:sz w:val="20"/>
        </w:rPr>
      </w:pPr>
      <w:bookmarkStart w:id="15" w:name="toc119271_12"/>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Q32 Bio Inc. appearing in Q32 Bio Inc.’s Annual Report (Form 10-K) for the year ended December 31, 2025,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by reference in reliance upon the report of Ernst &amp; Young LLP pertaining to such financial statements (to the extent covered by consents filed with the SEC) given on the authority of such firm as experts in accounting and auditing. </w:t>
      </w:r>
    </w:p>
    <w:p>
      <w:pPr>
        <w:pStyle w:val="TextBody"/>
        <w:bidi w:val="0"/>
        <w:spacing w:before="480" w:after="0"/>
        <w:jc w:val="center"/>
        <w:rPr>
          <w:rFonts w:ascii="Times New Roman" w:hAnsi="Times New Roman"/>
          <w:b/>
          <w:sz w:val="20"/>
        </w:rPr>
      </w:pPr>
      <w:bookmarkStart w:id="16" w:name="toc119271_13"/>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and in accordance therewith, file annual, quarterly and current reports, proxy statements and other information with the SEC electronically, and the SEC maintains a website that contains our filings as well as reports, proxy and information statements, and other information issuers file electronically with the SEC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make available free of charge on or through our website at www.q32bio.com,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furnishes it to the SEC. The website addresses are inactive textual references and except as specifically incorporated by reference into this prospectus, information on those websites is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19271_14"/>
      <w:bookmarkEnd w:id="17"/>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to the extent that a statement contained in or omitted from this prospectus,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We incorporate by reference the documents listed below which have been filed by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10,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2025 from our  </w:t>
            </w:r>
            <w:hyperlink r:id="rId4">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 on </w:t>
            </w:r>
            <w:hyperlink r:id="rId5">
              <w:r>
                <w:rPr>
                  <w:rStyle w:val="InternetLink"/>
                  <w:rFonts w:ascii="Times New Roman" w:hAnsi="Times New Roman"/>
                  <w:sz w:val="20"/>
                </w:rPr>
                <w:t>Form 10-Q</w:t>
              </w:r>
            </w:hyperlink>
            <w:r>
              <w:rPr>
                <w:rFonts w:ascii="Times New Roman" w:hAnsi="Times New Roman"/>
                <w:sz w:val="20"/>
              </w:rPr>
              <w:t xml:space="preserve"> for the fiscal quarter ended March 31, 2026, filed with the SEC on May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6">
              <w:r>
                <w:rPr>
                  <w:rStyle w:val="InternetLink"/>
                  <w:rFonts w:ascii="Times New Roman" w:hAnsi="Times New Roman"/>
                  <w:sz w:val="20"/>
                </w:rPr>
                <w:t>February  17, 2026</w:t>
              </w:r>
            </w:hyperlink>
            <w:r>
              <w:rPr>
                <w:rFonts w:ascii="Times New Roman" w:hAnsi="Times New Roman"/>
                <w:sz w:val="20"/>
              </w:rPr>
              <w:t xml:space="preserve">, </w:t>
            </w:r>
            <w:hyperlink r:id="rId7">
              <w:r>
                <w:rPr>
                  <w:rStyle w:val="InternetLink"/>
                  <w:rFonts w:ascii="Times New Roman" w:hAnsi="Times New Roman"/>
                  <w:sz w:val="20"/>
                </w:rPr>
                <w:t>March  27, 2026</w:t>
              </w:r>
            </w:hyperlink>
            <w:r>
              <w:rPr>
                <w:rFonts w:ascii="Times New Roman" w:hAnsi="Times New Roman"/>
                <w:sz w:val="20"/>
              </w:rPr>
              <w:t xml:space="preserve">, </w:t>
            </w:r>
            <w:hyperlink r:id="rId8">
              <w:r>
                <w:rPr>
                  <w:rStyle w:val="InternetLink"/>
                  <w:rFonts w:ascii="Times New Roman" w:hAnsi="Times New Roman"/>
                  <w:sz w:val="20"/>
                </w:rPr>
                <w:t>April  24, 2026</w:t>
              </w:r>
            </w:hyperlink>
            <w:r>
              <w:rPr>
                <w:rFonts w:ascii="Times New Roman" w:hAnsi="Times New Roman"/>
                <w:sz w:val="20"/>
              </w:rPr>
              <w:t xml:space="preserve">, </w:t>
            </w:r>
            <w:hyperlink r:id="rId9">
              <w:r>
                <w:rPr>
                  <w:rStyle w:val="InternetLink"/>
                  <w:rFonts w:ascii="Times New Roman" w:hAnsi="Times New Roman"/>
                  <w:sz w:val="20"/>
                </w:rPr>
                <w:t>May  27, 2026</w:t>
              </w:r>
            </w:hyperlink>
            <w:r>
              <w:rPr>
                <w:rFonts w:ascii="Times New Roman" w:hAnsi="Times New Roman"/>
                <w:sz w:val="20"/>
              </w:rPr>
              <w:t xml:space="preserve">, </w:t>
            </w:r>
            <w:hyperlink r:id="rId10">
              <w:r>
                <w:rPr>
                  <w:rStyle w:val="InternetLink"/>
                  <w:rFonts w:ascii="Times New Roman" w:hAnsi="Times New Roman"/>
                  <w:sz w:val="20"/>
                </w:rPr>
                <w:t>June  16, 2026</w:t>
              </w:r>
            </w:hyperlink>
            <w:r>
              <w:rPr>
                <w:rFonts w:ascii="Times New Roman" w:hAnsi="Times New Roman"/>
                <w:sz w:val="20"/>
              </w:rPr>
              <w:t xml:space="preserve">, </w:t>
            </w:r>
            <w:hyperlink r:id="rId11">
              <w:r>
                <w:rPr>
                  <w:rStyle w:val="InternetLink"/>
                  <w:rFonts w:ascii="Times New Roman" w:hAnsi="Times New Roman"/>
                  <w:sz w:val="20"/>
                </w:rPr>
                <w:t>July  13, 2026</w:t>
              </w:r>
            </w:hyperlink>
            <w:r>
              <w:rPr>
                <w:rFonts w:ascii="Times New Roman" w:hAnsi="Times New Roman"/>
                <w:sz w:val="20"/>
              </w:rPr>
              <w:t xml:space="preserve">, </w:t>
            </w:r>
            <w:hyperlink r:id="rId12">
              <w:r>
                <w:rPr>
                  <w:rStyle w:val="InternetLink"/>
                  <w:rFonts w:ascii="Times New Roman" w:hAnsi="Times New Roman"/>
                  <w:sz w:val="20"/>
                </w:rPr>
                <w:t>July  13, 2026</w:t>
              </w:r>
            </w:hyperlink>
            <w:r>
              <w:rPr>
                <w:rFonts w:ascii="Times New Roman" w:hAnsi="Times New Roman"/>
                <w:sz w:val="20"/>
              </w:rPr>
              <w:t xml:space="preserve">, and </w:t>
            </w:r>
            <w:hyperlink r:id="rId13">
              <w:r>
                <w:rPr>
                  <w:rStyle w:val="InternetLink"/>
                  <w:rFonts w:ascii="Times New Roman" w:hAnsi="Times New Roman"/>
                  <w:sz w:val="20"/>
                </w:rPr>
                <w:t>July 15,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the Registrant’s Common Stock contained in (i)  the Registration Statement on </w:t>
            </w:r>
            <w:hyperlink r:id="rId14">
              <w:r>
                <w:rPr>
                  <w:rStyle w:val="InternetLink"/>
                  <w:rFonts w:ascii="Times New Roman" w:hAnsi="Times New Roman"/>
                  <w:sz w:val="20"/>
                </w:rPr>
                <w:t>Form 8-A</w:t>
              </w:r>
            </w:hyperlink>
            <w:r>
              <w:rPr>
                <w:rFonts w:ascii="Times New Roman" w:hAnsi="Times New Roman"/>
                <w:sz w:val="20"/>
              </w:rPr>
              <w:t xml:space="preserve"> (File No. 001-38433), filed by the Registrant with the Securities and Exchange Commission under Section 12(b) of the Exchange Act on March 19, 2018, including any amendments or reports filed for the purpose of updating such description and (ii)  </w:t>
            </w:r>
            <w:hyperlink r:id="rId15">
              <w:r>
                <w:rPr>
                  <w:rStyle w:val="InternetLink"/>
                  <w:rFonts w:ascii="Times New Roman" w:hAnsi="Times New Roman"/>
                  <w:sz w:val="20"/>
                </w:rPr>
                <w:t>Exhibit 4.1</w:t>
              </w:r>
            </w:hyperlink>
            <w:r>
              <w:rPr>
                <w:rFonts w:ascii="Times New Roman" w:hAnsi="Times New Roman"/>
                <w:sz w:val="20"/>
              </w:rPr>
              <w:t xml:space="preserve">—Description of Securities to our Annual Report on Form 10-K, as filed with the Securities and Exchange Commission on March 10,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we file with the SEC pursuant to Sections 13(a), 13(c), 14 or 15(d) of the Exchange Act, except as to any portion of any report or documents that is not deemed filed under such provisions, (i) on or after the date of filing of the registration statement containing this prospectus and prior to the effectiveness of the registration statement and (ii) on or after the date of this prospectus until the earlier of the date on which all of the securities registered hereunder have been sold or the registration statement of which this prospectus is a part has been withdrawn, shall be deemed incorporated by reference in this prospectus and to be a part of this prospectus from the date of filing of those documents and will be automatically updated and, to the extent described above, supersede information contained or incorporated by reference in this prospectus and previously filed documents that are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prospectus shall be deemed to incorporate information furnished but not filed with the SEC pursuant to Item 2.02, 7.01 or 9.01 of Form 8-K. Upon written or oral request, we will provide without charge to each person, including any beneficial owner, to whom a copy of the prospectus is delivered a copy of any or all of the reports or documents incorporated by reference herein (other than exhibits to such documents, unless such exhibits are specifically incorporated by reference herein). You may request a copy of these filings, at no cost, by writing or telephoning us at the following address or phone number: </w:t>
      </w:r>
    </w:p>
    <w:p>
      <w:pPr>
        <w:pStyle w:val="TextBody"/>
        <w:bidi w:val="0"/>
        <w:spacing w:before="240" w:after="0"/>
        <w:jc w:val="center"/>
        <w:rPr>
          <w:rFonts w:ascii="Times New Roman" w:hAnsi="Times New Roman"/>
          <w:sz w:val="20"/>
        </w:rPr>
      </w:pPr>
      <w:r>
        <w:rPr>
          <w:rFonts w:ascii="Times New Roman" w:hAnsi="Times New Roman"/>
          <w:sz w:val="20"/>
        </w:rPr>
        <w:t xml:space="preserve">Q32 Bio Inc. </w:t>
      </w:r>
    </w:p>
    <w:p>
      <w:pPr>
        <w:pStyle w:val="TextBody"/>
        <w:bidi w:val="0"/>
        <w:spacing w:before="0" w:after="0"/>
        <w:jc w:val="center"/>
        <w:rPr>
          <w:rFonts w:ascii="Times New Roman" w:hAnsi="Times New Roman"/>
          <w:sz w:val="20"/>
        </w:rPr>
      </w:pPr>
      <w:r>
        <w:rPr>
          <w:rFonts w:ascii="Times New Roman" w:hAnsi="Times New Roman"/>
          <w:sz w:val="20"/>
        </w:rPr>
        <w:t xml:space="preserve">830 Winter Street </w:t>
      </w:r>
    </w:p>
    <w:p>
      <w:pPr>
        <w:pStyle w:val="TextBody"/>
        <w:bidi w:val="0"/>
        <w:spacing w:before="0" w:after="0"/>
        <w:jc w:val="center"/>
        <w:rPr>
          <w:rFonts w:ascii="Times New Roman" w:hAnsi="Times New Roman"/>
          <w:sz w:val="20"/>
        </w:rPr>
      </w:pPr>
      <w:r>
        <w:rPr>
          <w:rFonts w:ascii="Times New Roman" w:hAnsi="Times New Roman"/>
          <w:sz w:val="20"/>
        </w:rPr>
        <w:t xml:space="preserve">Waltham, MA 02451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(781) 999-0232</w:t>
      </w:r>
    </w:p>
    <w:p>
      <w:pPr>
        <w:pStyle w:val="TextBody"/>
        <w:bidi w:val="0"/>
        <w:spacing w:before="0" w:after="0"/>
        <w:jc w:val="center"/>
        <w:rPr>
          <w:rFonts w:ascii="Times New Roman" w:hAnsi="Times New Roman"/>
          <w:sz w:val="20"/>
        </w:rPr>
      </w:pPr>
      <w:r>
        <w:rPr>
          <w:rFonts w:ascii="Times New Roman" w:hAnsi="Times New Roman"/>
          <w:sz w:val="20"/>
        </w:rPr>
        <w:t xml:space="preserve">Email: IR@q32bio.com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297305" cy="2895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1297305" cy="289560"/>
                    </a:xfrm>
                    <a:prstGeom prst="rect">
                      <a:avLst/>
                    </a:prstGeom>
                  </pic:spPr>
                </pic:pic>
              </a:graphicData>
            </a:graphic>
          </wp:inline>
        </w:drawing>
      </w:r>
      <w:r>
        <w:rPr/>
        <w:t xml:space="preserve"> </w:t>
      </w:r>
    </w:p>
    <w:p>
      <w:pPr>
        <w:pStyle w:val="TextBody"/>
        <w:bidi w:val="0"/>
        <w:spacing w:before="1440" w:after="0"/>
        <w:jc w:val="center"/>
        <w:rPr>
          <w:rFonts w:ascii="Times New Roman" w:hAnsi="Times New Roman"/>
          <w:b/>
          <w:sz w:val="28"/>
        </w:rPr>
      </w:pPr>
      <w:r>
        <w:rPr>
          <w:rFonts w:ascii="Times New Roman" w:hAnsi="Times New Roman"/>
          <w:b/>
          <w:sz w:val="28"/>
        </w:rPr>
        <w:t xml:space="preserve">Up to 6,875,000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00" w:after="0"/>
        <w:jc w:val="center"/>
        <w:rPr>
          <w:rFonts w:ascii="Times New Roman" w:hAnsi="Times New Roman"/>
          <w:b/>
          <w:sz w:val="20"/>
        </w:rPr>
      </w:pPr>
      <w:r>
        <w:rPr>
          <w:rFonts w:ascii="Times New Roman" w:hAnsi="Times New Roman"/>
          <w:b/>
          <w:sz w:val="20"/>
        </w:rPr>
        <w:t xml:space="preserve">July 28,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661998/000119312526099339/qttb-20251231.htm" TargetMode="External"/><Relationship Id="rId4" Type="http://schemas.openxmlformats.org/officeDocument/2006/relationships/hyperlink" Target="http://www.sec.gov/Archives/edgar/data/../../../ix?doc=/Archives/edgar/data/0001661998/000119312526193934/qttb-20260429.htm" TargetMode="External"/><Relationship Id="rId5" Type="http://schemas.openxmlformats.org/officeDocument/2006/relationships/hyperlink" Target="http://www.sec.gov/Archives/edgar/data/../../../ix?doc=/Archives/edgar/data/1661998/000119312526205021/qttb-20260331.htm" TargetMode="External"/><Relationship Id="rId6" Type="http://schemas.openxmlformats.org/officeDocument/2006/relationships/hyperlink" Target="http://www.sec.gov/Archives/edgar/data/../../../ix?doc=/Archives/edgar/data/1661998/000119312526054711/d113308d8k.htm" TargetMode="External"/><Relationship Id="rId7" Type="http://schemas.openxmlformats.org/officeDocument/2006/relationships/hyperlink" Target="http://www.sec.gov/Archives/edgar/data/../../../ix?doc=/Archives/edgar/data/1661998/000119312526129431/d12934d8k.htm" TargetMode="External"/><Relationship Id="rId8" Type="http://schemas.openxmlformats.org/officeDocument/2006/relationships/hyperlink" Target="http://www.sec.gov/Archives/edgar/data/../../../ix?doc=/Archives/edgar/data/1661998/000119312526177178/d31430d8k.htm" TargetMode="External"/><Relationship Id="rId9" Type="http://schemas.openxmlformats.org/officeDocument/2006/relationships/hyperlink" Target="http://www.sec.gov/Archives/edgar/data/../../../ix?doc=/Archives/edgar/data/1661998/000119312526241846/d228038d8k.htm" TargetMode="External"/><Relationship Id="rId10" Type="http://schemas.openxmlformats.org/officeDocument/2006/relationships/hyperlink" Target="http://www.sec.gov/Archives/edgar/data/../../../ix?doc=/Archives/edgar/data/0001661998/000119312526272562/d117360d8k.htm" TargetMode="External"/><Relationship Id="rId11" Type="http://schemas.openxmlformats.org/officeDocument/2006/relationships/hyperlink" Target="http://www.sec.gov/Archives/edgar/data/../../../ix?doc=/Archives/edgar/data/0001661998/000119312526301464/d142528d8k.htm" TargetMode="External"/><Relationship Id="rId12" Type="http://schemas.openxmlformats.org/officeDocument/2006/relationships/hyperlink" Target="http://www.sec.gov/Archives/edgar/data/../../../ix?doc=/Archives/edgar/data/0001661998/000119312526301520/d143274d8k.htm" TargetMode="External"/><Relationship Id="rId13" Type="http://schemas.openxmlformats.org/officeDocument/2006/relationships/hyperlink" Target="http://www.sec.gov/Archives/edgar/data/../../../ix?doc=/Archives/edgar/data/0001661998/000119312526304964/d150730d8k.htm" TargetMode="External"/><Relationship Id="rId14" Type="http://schemas.openxmlformats.org/officeDocument/2006/relationships/hyperlink" Target="http://www.sec.gov/Archives/edgar/data/1661998/000119312518086568/d547147d8a12b.htm" TargetMode="External"/><Relationship Id="rId15" Type="http://schemas.openxmlformats.org/officeDocument/2006/relationships/hyperlink" Target="http://www.sec.gov/Archives/edgar/data/1661998/000119312526099339/qttb-ex4_1.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13885</Words>
  <Characters>73902</Characters>
  <CharactersWithSpaces>88021</CharactersWithSpaces>
  <Paragraphs>830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