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 w:lineRule="exact"/>
        <w:rPr>
          <w:sz w:val="24"/>
          <w:szCs w:val="24"/>
          <w:color w:val="auto"/>
        </w:rPr>
      </w:pPr>
    </w:p>
    <w:p>
      <w:pPr>
        <w:ind w:left="4100" w:right="2860" w:hanging="4092"/>
        <w:spacing w:after="0" w:line="328" w:lineRule="auto"/>
        <w:tabs>
          <w:tab w:leader="none" w:pos="473"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3080" w:right="2520" w:hanging="3072"/>
        <w:spacing w:after="0" w:line="334" w:lineRule="auto"/>
        <w:tabs>
          <w:tab w:leader="none" w:pos="477"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_________________ to _________________</w:t>
      </w:r>
    </w:p>
    <w:p>
      <w:pPr>
        <w:ind w:left="434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001-38433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2" w:lineRule="exact"/>
        <w:rPr>
          <w:sz w:val="24"/>
          <w:szCs w:val="24"/>
          <w:color w:val="auto"/>
        </w:rPr>
      </w:pPr>
    </w:p>
    <w:tbl>
      <w:tblPr>
        <w:tblLayout w:type="fixed"/>
        <w:tblInd w:w="1760" w:type="dxa"/>
        <w:tblCellMar>
          <w:top w:w="0" w:type="dxa"/>
          <w:left w:w="0" w:type="dxa"/>
          <w:bottom w:w="0" w:type="dxa"/>
          <w:right w:w="0" w:type="dxa"/>
        </w:tblCellMar>
      </w:tblPr>
      <w:tr>
        <w:trPr>
          <w:trHeight w:val="447"/>
        </w:trPr>
        <w:tc>
          <w:tcPr>
            <w:tcW w:w="2740" w:type="dxa"/>
            <w:vAlign w:val="bottom"/>
          </w:tcPr>
          <w:p>
            <w:pPr>
              <w:spacing w:after="0"/>
              <w:rPr>
                <w:sz w:val="24"/>
                <w:szCs w:val="24"/>
                <w:color w:val="auto"/>
              </w:rPr>
            </w:pPr>
          </w:p>
        </w:tc>
        <w:tc>
          <w:tcPr>
            <w:tcW w:w="3200" w:type="dxa"/>
            <w:vAlign w:val="bottom"/>
            <w:gridSpan w:val="2"/>
          </w:tcPr>
          <w:p>
            <w:pPr>
              <w:jc w:val="center"/>
              <w:ind w:right="960"/>
              <w:spacing w:after="0"/>
              <w:rPr>
                <w:sz w:val="20"/>
                <w:szCs w:val="20"/>
                <w:color w:val="auto"/>
              </w:rPr>
            </w:pPr>
            <w:r>
              <w:rPr>
                <w:rFonts w:ascii="Times New Roman" w:cs="Times New Roman" w:eastAsia="Times New Roman" w:hAnsi="Times New Roman"/>
                <w:sz w:val="36"/>
                <w:szCs w:val="36"/>
                <w:b w:val="1"/>
                <w:bCs w:val="1"/>
                <w:color w:val="auto"/>
                <w:w w:val="99"/>
              </w:rPr>
              <w:t>Q32 Bio Inc.</w:t>
            </w:r>
          </w:p>
        </w:tc>
        <w:tc>
          <w:tcPr>
            <w:tcW w:w="1220" w:type="dxa"/>
            <w:vAlign w:val="bottom"/>
          </w:tcPr>
          <w:p>
            <w:pPr>
              <w:spacing w:after="0"/>
              <w:rPr>
                <w:sz w:val="24"/>
                <w:szCs w:val="24"/>
                <w:color w:val="auto"/>
              </w:rPr>
            </w:pPr>
          </w:p>
        </w:tc>
      </w:tr>
      <w:tr>
        <w:trPr>
          <w:trHeight w:val="212"/>
        </w:trPr>
        <w:tc>
          <w:tcPr>
            <w:tcW w:w="5940" w:type="dxa"/>
            <w:vAlign w:val="bottom"/>
            <w:gridSpan w:val="3"/>
          </w:tcPr>
          <w:p>
            <w:pPr>
              <w:jc w:val="center"/>
              <w:ind w:left="1707"/>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220" w:type="dxa"/>
            <w:vAlign w:val="bottom"/>
          </w:tcPr>
          <w:p>
            <w:pPr>
              <w:spacing w:after="0"/>
              <w:rPr>
                <w:sz w:val="18"/>
                <w:szCs w:val="18"/>
                <w:color w:val="auto"/>
              </w:rPr>
            </w:pPr>
          </w:p>
        </w:tc>
      </w:tr>
      <w:tr>
        <w:trPr>
          <w:trHeight w:val="100"/>
        </w:trPr>
        <w:tc>
          <w:tcPr>
            <w:tcW w:w="274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43"/>
        </w:trPr>
        <w:tc>
          <w:tcPr>
            <w:tcW w:w="5940" w:type="dxa"/>
            <w:vAlign w:val="bottom"/>
            <w:gridSpan w:val="3"/>
          </w:tcPr>
          <w:p>
            <w:pPr>
              <w:jc w:val="center"/>
              <w:ind w:right="384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47-3468154</w:t>
            </w:r>
          </w:p>
        </w:tc>
      </w:tr>
      <w:tr>
        <w:trPr>
          <w:trHeight w:val="135"/>
        </w:trPr>
        <w:tc>
          <w:tcPr>
            <w:tcW w:w="5940" w:type="dxa"/>
            <w:vAlign w:val="bottom"/>
            <w:gridSpan w:val="3"/>
          </w:tcPr>
          <w:p>
            <w:pPr>
              <w:jc w:val="center"/>
              <w:ind w:right="38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220" w:type="dxa"/>
            <w:vAlign w:val="bottom"/>
          </w:tcPr>
          <w:p>
            <w:pPr>
              <w:jc w:val="center"/>
              <w:ind w:left="17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5940" w:type="dxa"/>
            <w:vAlign w:val="bottom"/>
            <w:gridSpan w:val="3"/>
          </w:tcPr>
          <w:p>
            <w:pPr>
              <w:jc w:val="center"/>
              <w:ind w:right="3840"/>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0"/>
        </w:trPr>
        <w:tc>
          <w:tcPr>
            <w:tcW w:w="5940" w:type="dxa"/>
            <w:vAlign w:val="bottom"/>
            <w:gridSpan w:val="3"/>
          </w:tcPr>
          <w:p>
            <w:pPr>
              <w:jc w:val="center"/>
              <w:ind w:right="3840"/>
              <w:spacing w:after="0"/>
              <w:rPr>
                <w:sz w:val="20"/>
                <w:szCs w:val="20"/>
                <w:color w:val="auto"/>
              </w:rPr>
            </w:pPr>
            <w:r>
              <w:rPr>
                <w:rFonts w:ascii="Times New Roman" w:cs="Times New Roman" w:eastAsia="Times New Roman" w:hAnsi="Times New Roman"/>
                <w:sz w:val="16"/>
                <w:szCs w:val="16"/>
                <w:b w:val="1"/>
                <w:bCs w:val="1"/>
                <w:color w:val="auto"/>
              </w:rPr>
              <w:t>830 Winter Street</w:t>
            </w:r>
          </w:p>
        </w:tc>
        <w:tc>
          <w:tcPr>
            <w:tcW w:w="1220" w:type="dxa"/>
            <w:vAlign w:val="bottom"/>
          </w:tcPr>
          <w:p>
            <w:pPr>
              <w:spacing w:after="0"/>
              <w:rPr>
                <w:sz w:val="19"/>
                <w:szCs w:val="19"/>
                <w:color w:val="auto"/>
              </w:rPr>
            </w:pPr>
          </w:p>
        </w:tc>
      </w:tr>
      <w:tr>
        <w:trPr>
          <w:trHeight w:val="198"/>
        </w:trPr>
        <w:tc>
          <w:tcPr>
            <w:tcW w:w="5940" w:type="dxa"/>
            <w:vAlign w:val="bottom"/>
            <w:gridSpan w:val="3"/>
          </w:tcPr>
          <w:p>
            <w:pPr>
              <w:jc w:val="center"/>
              <w:ind w:right="3840"/>
              <w:spacing w:after="0"/>
              <w:rPr>
                <w:sz w:val="20"/>
                <w:szCs w:val="20"/>
                <w:color w:val="auto"/>
              </w:rPr>
            </w:pPr>
            <w:r>
              <w:rPr>
                <w:rFonts w:ascii="Times New Roman" w:cs="Times New Roman" w:eastAsia="Times New Roman" w:hAnsi="Times New Roman"/>
                <w:sz w:val="16"/>
                <w:szCs w:val="16"/>
                <w:b w:val="1"/>
                <w:bCs w:val="1"/>
                <w:color w:val="auto"/>
                <w:w w:val="99"/>
              </w:rPr>
              <w:t>Waltham, MA</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02451</w:t>
            </w:r>
          </w:p>
        </w:tc>
      </w:tr>
      <w:tr>
        <w:trPr>
          <w:trHeight w:val="166"/>
        </w:trPr>
        <w:tc>
          <w:tcPr>
            <w:tcW w:w="5940" w:type="dxa"/>
            <w:vAlign w:val="bottom"/>
            <w:gridSpan w:val="3"/>
          </w:tcPr>
          <w:p>
            <w:pPr>
              <w:jc w:val="center"/>
              <w:ind w:right="3840"/>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7"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(781) 999-0232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gridSpan w:val="3"/>
          </w:tcPr>
          <w:p>
            <w:pPr>
              <w:jc w:val="center"/>
              <w:ind w:right="100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4160" w:type="dxa"/>
            <w:vAlign w:val="bottom"/>
          </w:tcPr>
          <w:p>
            <w:pPr>
              <w:spacing w:after="0"/>
              <w:rPr>
                <w:sz w:val="12"/>
                <w:szCs w:val="12"/>
                <w:color w:val="auto"/>
              </w:rPr>
            </w:pPr>
          </w:p>
        </w:tc>
      </w:tr>
      <w:tr>
        <w:trPr>
          <w:trHeight w:val="155"/>
        </w:trPr>
        <w:tc>
          <w:tcPr>
            <w:tcW w:w="4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20" w:type="dxa"/>
            <w:vAlign w:val="bottom"/>
          </w:tcPr>
          <w:p>
            <w:pPr>
              <w:spacing w:after="0"/>
              <w:rPr>
                <w:sz w:val="13"/>
                <w:szCs w:val="13"/>
                <w:color w:val="auto"/>
              </w:rPr>
            </w:pPr>
          </w:p>
        </w:tc>
        <w:tc>
          <w:tcPr>
            <w:tcW w:w="2680" w:type="dxa"/>
            <w:vAlign w:val="bottom"/>
            <w:gridSpan w:val="3"/>
          </w:tcPr>
          <w:p>
            <w:pPr>
              <w:jc w:val="center"/>
              <w:ind w:right="98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4160" w:type="dxa"/>
            <w:vAlign w:val="bottom"/>
          </w:tcPr>
          <w:p>
            <w:pPr>
              <w:jc w:val="center"/>
              <w:ind w:right="831"/>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71"/>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120" w:type="dxa"/>
            <w:vAlign w:val="bottom"/>
          </w:tcPr>
          <w:p>
            <w:pPr>
              <w:spacing w:after="0"/>
              <w:rPr>
                <w:sz w:val="14"/>
                <w:szCs w:val="14"/>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QTTB</w:t>
            </w:r>
          </w:p>
        </w:tc>
        <w:tc>
          <w:tcPr>
            <w:tcW w:w="1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160" w:type="dxa"/>
            <w:vAlign w:val="bottom"/>
            <w:tcBorders>
              <w:top w:val="single" w:sz="8" w:color="auto"/>
            </w:tcBorders>
          </w:tcPr>
          <w:p>
            <w:pPr>
              <w:jc w:val="center"/>
              <w:ind w:right="811"/>
              <w:spacing w:after="0"/>
              <w:rPr>
                <w:sz w:val="20"/>
                <w:szCs w:val="20"/>
                <w:color w:val="auto"/>
              </w:rPr>
            </w:pPr>
            <w:r>
              <w:rPr>
                <w:rFonts w:ascii="Times New Roman" w:cs="Times New Roman" w:eastAsia="Times New Roman" w:hAnsi="Times New Roman"/>
                <w:sz w:val="14"/>
                <w:szCs w:val="14"/>
                <w:color w:val="auto"/>
              </w:rPr>
              <w:t>The Nasdaq Capital Market</w:t>
            </w:r>
          </w:p>
        </w:tc>
      </w:tr>
      <w:tr>
        <w:trPr>
          <w:trHeight w:val="187"/>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160" w:type="dxa"/>
            <w:vAlign w:val="bottom"/>
          </w:tcPr>
          <w:p>
            <w:pPr>
              <w:spacing w:after="0"/>
              <w:rPr>
                <w:sz w:val="16"/>
                <w:szCs w:val="16"/>
                <w:color w:val="auto"/>
              </w:rPr>
            </w:pPr>
          </w:p>
        </w:tc>
      </w:tr>
      <w:tr>
        <w:trPr>
          <w:trHeight w:val="230"/>
        </w:trPr>
        <w:tc>
          <w:tcPr>
            <w:tcW w:w="11240" w:type="dxa"/>
            <w:vAlign w:val="bottom"/>
            <w:gridSpan w:val="6"/>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r>
      <w:tr>
        <w:trPr>
          <w:trHeight w:val="242"/>
        </w:trPr>
        <w:tc>
          <w:tcPr>
            <w:tcW w:w="7080" w:type="dxa"/>
            <w:vAlign w:val="bottom"/>
            <w:gridSpan w:val="5"/>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p>
        </w:tc>
        <w:tc>
          <w:tcPr>
            <w:tcW w:w="4160" w:type="dxa"/>
            <w:vAlign w:val="bottom"/>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6"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40"/>
          </w:cols>
          <w:pgMar w:left="320" w:top="965" w:right="339" w:bottom="1440" w:gutter="0" w:footer="0" w:header="0"/>
        </w:sectPr>
      </w:pPr>
    </w:p>
    <w:p>
      <w:pPr>
        <w:spacing w:after="0" w:line="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161" w:lineRule="exact"/>
        <w:tabs>
          <w:tab w:leader="none" w:pos="2220" w:val="left"/>
          <w:tab w:leader="none" w:pos="86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48" w:lineRule="exact"/>
        <w:rPr>
          <w:sz w:val="24"/>
          <w:szCs w:val="24"/>
          <w:color w:val="auto"/>
        </w:rPr>
      </w:pPr>
    </w:p>
    <w:p>
      <w:pPr>
        <w:spacing w:after="0" w:line="161" w:lineRule="exact"/>
        <w:tabs>
          <w:tab w:leader="none" w:pos="2220" w:val="left"/>
          <w:tab w:leader="none" w:pos="862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15" w:lineRule="exact"/>
        <w:rPr>
          <w:sz w:val="24"/>
          <w:szCs w:val="24"/>
          <w:color w:val="auto"/>
        </w:rPr>
      </w:pPr>
    </w:p>
    <w:p>
      <w:pPr>
        <w:ind w:left="864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ectPr>
          <w:pgSz w:w="11900" w:h="16838" w:orient="portrait"/>
          <w:cols w:equalWidth="0" w:num="2">
            <w:col w:w="10740" w:space="260"/>
            <w:col w:w="240"/>
          </w:cols>
          <w:pgMar w:left="320" w:top="965" w:right="339" w:bottom="1440" w:gutter="0" w:footer="0" w:header="0"/>
          <w:type w:val="continuous"/>
        </w:sect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 w:lineRule="exact"/>
        <w:rPr>
          <w:sz w:val="24"/>
          <w:szCs w:val="24"/>
          <w:color w:val="auto"/>
        </w:rPr>
      </w:pPr>
    </w:p>
    <w:p>
      <w:pPr>
        <w:ind w:right="200"/>
        <w:spacing w:after="0" w:line="171" w:lineRule="exact"/>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 xml:space="preserve"> </w:t>
      </w:r>
      <w:r>
        <w:rPr>
          <w:rFonts w:ascii="MS PGothic" w:cs="MS PGothic" w:eastAsia="MS PGothic" w:hAnsi="MS PGothic"/>
          <w:sz w:val="12"/>
          <w:szCs w:val="12"/>
          <w:color w:val="auto"/>
        </w:rPr>
        <w:t>☐</w:t>
      </w:r>
    </w:p>
    <w:p>
      <w:pPr>
        <w:spacing w:after="0" w:line="1"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jc w:val="both"/>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2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on the closing price of the shares of common stock on The Nasdaq Capital Market on June 30, 2025, the last business day of the Registrant’s most recently completed second fiscal quarter, was approximately $10.4 million.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par value $0.0001 per share, outstanding as of March 1, 2026 was 14,629,463.</w:t>
      </w:r>
    </w:p>
    <w:p>
      <w:pPr>
        <w:spacing w:after="0" w:line="42"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42" w:lineRule="exact"/>
        <w:rPr>
          <w:sz w:val="24"/>
          <w:szCs w:val="24"/>
          <w:color w:val="auto"/>
        </w:rPr>
      </w:pPr>
    </w:p>
    <w:p>
      <w:pPr>
        <w:jc w:val="both"/>
        <w:ind w:right="280"/>
        <w:spacing w:after="0" w:line="241" w:lineRule="auto"/>
        <w:rPr>
          <w:sz w:val="20"/>
          <w:szCs w:val="20"/>
          <w:color w:val="auto"/>
        </w:rPr>
      </w:pPr>
      <w:r>
        <w:rPr>
          <w:rFonts w:ascii="Times New Roman" w:cs="Times New Roman" w:eastAsia="Times New Roman" w:hAnsi="Times New Roman"/>
          <w:sz w:val="14"/>
          <w:szCs w:val="14"/>
          <w:color w:val="auto"/>
        </w:rPr>
        <w:t>Certain portions of the information required to be furnished pursuant to Part III of this Annual Report on Form 10-K will be set forth in, and incorporated by reference from, the Registrant’s definitive proxy statement for the annual meeting of stockholders or an amendment to this Annual Report on Form 10-K which will be filed with the Securities and Exchange Commission no later than 120 days after the end of the fiscal year ended December 31, 2025.</w:t>
      </w:r>
    </w:p>
    <w:p>
      <w:pPr>
        <w:spacing w:after="0" w:line="55" w:lineRule="exact"/>
        <w:rPr>
          <w:sz w:val="24"/>
          <w:szCs w:val="24"/>
          <w:color w:val="auto"/>
        </w:rPr>
      </w:pPr>
    </w:p>
    <w:p>
      <w:pPr>
        <w:spacing w:after="0"/>
        <w:tabs>
          <w:tab w:leader="none" w:pos="2860" w:val="left"/>
          <w:tab w:leader="none" w:pos="6100" w:val="left"/>
        </w:tabs>
        <w:rPr>
          <w:sz w:val="20"/>
          <w:szCs w:val="20"/>
          <w:color w:val="auto"/>
        </w:rPr>
      </w:pPr>
      <w:r>
        <w:rPr>
          <w:rFonts w:ascii="Times New Roman" w:cs="Times New Roman" w:eastAsia="Times New Roman" w:hAnsi="Times New Roman"/>
          <w:sz w:val="14"/>
          <w:szCs w:val="14"/>
          <w:color w:val="auto"/>
        </w:rPr>
        <w:t>Auditor Firm Id: 42</w:t>
      </w:r>
      <w:r>
        <w:rPr>
          <w:sz w:val="20"/>
          <w:szCs w:val="20"/>
          <w:color w:val="auto"/>
        </w:rPr>
        <w:tab/>
      </w:r>
      <w:r>
        <w:rPr>
          <w:rFonts w:ascii="Times New Roman" w:cs="Times New Roman" w:eastAsia="Times New Roman" w:hAnsi="Times New Roman"/>
          <w:sz w:val="14"/>
          <w:szCs w:val="14"/>
          <w:color w:val="auto"/>
        </w:rPr>
        <w:t>Auditor Name: Ernst &amp; Young LLP</w:t>
      </w:r>
      <w:r>
        <w:rPr>
          <w:sz w:val="20"/>
          <w:szCs w:val="20"/>
          <w:color w:val="auto"/>
        </w:rPr>
        <w:tab/>
      </w:r>
      <w:r>
        <w:rPr>
          <w:rFonts w:ascii="Times New Roman" w:cs="Times New Roman" w:eastAsia="Times New Roman" w:hAnsi="Times New Roman"/>
          <w:sz w:val="14"/>
          <w:szCs w:val="14"/>
          <w:color w:val="auto"/>
        </w:rPr>
        <w:t>Auditor Location: Boston, Massachusetts, USA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722630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6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4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28"/>
          </w:tcPr>
          <w:p>
            <w:pPr>
              <w:ind w:left="20"/>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7"/>
                <w:szCs w:val="17"/>
                <w:color w:val="auto"/>
              </w:rPr>
            </w:pPr>
          </w:p>
        </w:tc>
        <w:tc>
          <w:tcPr>
            <w:tcW w:w="8280" w:type="dxa"/>
            <w:vAlign w:val="bottom"/>
            <w:gridSpan w:val="2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Unresolved Staff Comments</w:t>
            </w:r>
          </w:p>
        </w:tc>
        <w:tc>
          <w:tcPr>
            <w:tcW w:w="716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w w:val="96"/>
              </w:rPr>
              <w:t>Cybersecurity</w:t>
            </w:r>
          </w:p>
        </w:tc>
        <w:tc>
          <w:tcPr>
            <w:tcW w:w="820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5"/>
              </w:rPr>
              <w:t>Properties</w:t>
            </w:r>
          </w:p>
        </w:tc>
        <w:tc>
          <w:tcPr>
            <w:tcW w:w="20" w:type="dxa"/>
            <w:vAlign w:val="bottom"/>
            <w:tcBorders>
              <w:bottom w:val="single" w:sz="8" w:color="0000EE"/>
            </w:tcBorders>
          </w:tcPr>
          <w:p>
            <w:pPr>
              <w:spacing w:after="0"/>
              <w:rPr>
                <w:sz w:val="17"/>
                <w:szCs w:val="17"/>
                <w:color w:val="auto"/>
              </w:rPr>
            </w:pPr>
          </w:p>
        </w:tc>
        <w:tc>
          <w:tcPr>
            <w:tcW w:w="8460" w:type="dxa"/>
            <w:vAlign w:val="bottom"/>
            <w:gridSpan w:val="2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28"/>
          </w:tcPr>
          <w:p>
            <w:pPr>
              <w:ind w:left="20"/>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FF"/>
              <w:bottom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w w:val="96"/>
              </w:rPr>
              <w:t>[Reserved]</w:t>
            </w:r>
          </w:p>
        </w:tc>
        <w:tc>
          <w:tcPr>
            <w:tcW w:w="20" w:type="dxa"/>
            <w:vAlign w:val="bottom"/>
            <w:tcBorders>
              <w:top w:val="single" w:sz="8" w:color="0000FF"/>
              <w:bottom w:val="single" w:sz="8" w:color="0000EE"/>
            </w:tcBorders>
          </w:tcPr>
          <w:p>
            <w:pPr>
              <w:spacing w:after="0"/>
              <w:rPr>
                <w:sz w:val="17"/>
                <w:szCs w:val="17"/>
                <w:color w:val="auto"/>
              </w:rPr>
            </w:pPr>
          </w:p>
        </w:tc>
        <w:tc>
          <w:tcPr>
            <w:tcW w:w="7280" w:type="dxa"/>
            <w:vAlign w:val="bottom"/>
            <w:tcBorders>
              <w:top w:val="single" w:sz="8" w:color="0000FF"/>
            </w:tcBorders>
            <w:gridSpan w:val="22"/>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4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2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86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2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4740" w:type="dxa"/>
            <w:vAlign w:val="bottom"/>
            <w:tcBorders>
              <w:top w:val="single" w:sz="8" w:color="0000FF"/>
            </w:tcBorders>
            <w:gridSpan w:val="13"/>
          </w:tcPr>
          <w:p>
            <w:pPr>
              <w:spacing w:after="0"/>
              <w:rPr>
                <w:sz w:val="17"/>
                <w:szCs w:val="17"/>
                <w:color w:val="auto"/>
              </w:rPr>
            </w:pPr>
          </w:p>
        </w:tc>
        <w:tc>
          <w:tcPr>
            <w:tcW w:w="270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2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34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2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20" w:type="dxa"/>
            <w:vAlign w:val="bottom"/>
            <w:gridSpan w:val="28"/>
          </w:tcPr>
          <w:p>
            <w:pPr>
              <w:ind w:left="20"/>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6"/>
          </w:tcPr>
          <w:p>
            <w:pPr>
              <w:spacing w:after="0"/>
              <w:rPr>
                <w:sz w:val="17"/>
                <w:szCs w:val="17"/>
                <w:color w:val="auto"/>
              </w:rPr>
            </w:pPr>
          </w:p>
        </w:tc>
        <w:tc>
          <w:tcPr>
            <w:tcW w:w="512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9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2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376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20" w:type="dxa"/>
            <w:vAlign w:val="bottom"/>
            <w:gridSpan w:val="28"/>
          </w:tcPr>
          <w:p>
            <w:pPr>
              <w:ind w:left="20"/>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Form 10-K Summary</w:t>
            </w:r>
          </w:p>
        </w:tc>
        <w:tc>
          <w:tcPr>
            <w:tcW w:w="20" w:type="dxa"/>
            <w:vAlign w:val="bottom"/>
            <w:tcBorders>
              <w:top w:val="single" w:sz="8" w:color="0000FF"/>
              <w:bottom w:val="single" w:sz="8" w:color="0000EE"/>
            </w:tcBorders>
          </w:tcPr>
          <w:p>
            <w:pPr>
              <w:spacing w:after="0"/>
              <w:rPr>
                <w:sz w:val="17"/>
                <w:szCs w:val="17"/>
                <w:color w:val="auto"/>
              </w:rPr>
            </w:pPr>
          </w:p>
        </w:tc>
        <w:tc>
          <w:tcPr>
            <w:tcW w:w="1320" w:type="dxa"/>
            <w:vAlign w:val="bottom"/>
            <w:tcBorders>
              <w:top w:val="single" w:sz="8" w:color="0000FF"/>
            </w:tcBorders>
            <w:gridSpan w:val="6"/>
          </w:tcPr>
          <w:p>
            <w:pPr>
              <w:spacing w:after="0"/>
              <w:rPr>
                <w:sz w:val="17"/>
                <w:szCs w:val="17"/>
                <w:color w:val="auto"/>
              </w:rPr>
            </w:pPr>
          </w:p>
        </w:tc>
        <w:tc>
          <w:tcPr>
            <w:tcW w:w="632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statements that are not historical facts and are considered forward-looking within the meaning of Section 27A of the Securities Act of 1933, as amended (the “Securities Act”), and Section 21E of the Securities Exchange Act of 1934, as amended (the “Exchange Act”). These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Annual Report on Form 10-K may include, for example, statements about:</w:t>
      </w:r>
    </w:p>
    <w:p>
      <w:pPr>
        <w:spacing w:after="0" w:line="8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sustain profitability in the future;</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prospects, plans, expectations or objectives of management for our future operations;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cash runway, and our needs for additional financing;</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and anticipated use of our existing cash, cash equivalents and marketable securities;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scope or timing of the development of our product candidates;</w:t>
      </w:r>
    </w:p>
    <w:p>
      <w:pPr>
        <w:spacing w:after="0" w:line="9" w:lineRule="exact"/>
        <w:rPr>
          <w:rFonts w:ascii="Times New Roman" w:cs="Times New Roman" w:eastAsia="Times New Roman" w:hAnsi="Times New Roman"/>
          <w:sz w:val="18"/>
          <w:szCs w:val="18"/>
          <w:color w:val="auto"/>
        </w:rPr>
      </w:pPr>
    </w:p>
    <w:p>
      <w:pPr>
        <w:ind w:left="1020" w:right="68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surrounding the potential safety, efficacy, and regulatory and clinical progress of our product candidates, including bempikibart, and our anticipated milestones and timing therefor;</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market acceptance and adoption of our product candidates;</w:t>
      </w:r>
    </w:p>
    <w:p>
      <w:pPr>
        <w:spacing w:after="0" w:line="9" w:lineRule="exact"/>
        <w:rPr>
          <w:rFonts w:ascii="Times New Roman" w:cs="Times New Roman" w:eastAsia="Times New Roman" w:hAnsi="Times New Roman"/>
          <w:sz w:val="18"/>
          <w:szCs w:val="18"/>
          <w:color w:val="auto"/>
        </w:rPr>
      </w:pPr>
    </w:p>
    <w:p>
      <w:pPr>
        <w:ind w:left="1020" w:right="2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that may be derived from any of our future products or the commercial or market opportunity with respect to any of our future products;</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patent protection for our product candidates and protect our intellectual property rights;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compete against other companies developing similar products to ours;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operations, financial position, ability to raise capital to fund our operations, revenues, costs or expenses;</w:t>
      </w:r>
    </w:p>
    <w:p>
      <w:pPr>
        <w:spacing w:after="0" w:line="9" w:lineRule="exact"/>
        <w:rPr>
          <w:rFonts w:ascii="Times New Roman" w:cs="Times New Roman" w:eastAsia="Times New Roman" w:hAnsi="Times New Roman"/>
          <w:sz w:val="18"/>
          <w:szCs w:val="18"/>
          <w:color w:val="auto"/>
        </w:rPr>
      </w:pPr>
    </w:p>
    <w:p>
      <w:pPr>
        <w:ind w:left="1020" w:right="240" w:hanging="503"/>
        <w:spacing w:after="0" w:line="250" w:lineRule="auto"/>
        <w:tabs>
          <w:tab w:leader="none" w:pos="102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our ability to continue to achieve benefits and improvements in connection with the strategic restructuring plan, including the reduction in force;</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key executives and to attract and retain highly qualified personnel;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protect against cyber-attacks, security breaches and other disruptions to our information technology systems;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an effective system of internal controls over financial reporting;</w:t>
      </w:r>
    </w:p>
    <w:p>
      <w:pPr>
        <w:spacing w:after="0" w:line="9" w:lineRule="exact"/>
        <w:rPr>
          <w:rFonts w:ascii="Times New Roman" w:cs="Times New Roman" w:eastAsia="Times New Roman" w:hAnsi="Times New Roman"/>
          <w:sz w:val="18"/>
          <w:szCs w:val="18"/>
          <w:color w:val="auto"/>
        </w:rPr>
      </w:pPr>
    </w:p>
    <w:p>
      <w:pPr>
        <w:ind w:left="1020" w:right="38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macroeconomic conditions or market volatility resulting from global economic conditions or geopolitical developments, including fluctuating interest rates and inflation and capital market disruptions, changes in governmental agencies, government shutdowns, international tariffs, trade protection measures, public health crises, economic sanctions and potential economic slowdowns or recessions, or similar events;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in the supply and manufacture of our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applicable laws and regulations, whether in the U.S. or foreign jurisdictions, and any changes thereto;</w:t>
      </w:r>
    </w:p>
    <w:p>
      <w:pPr>
        <w:spacing w:after="0" w:line="9" w:lineRule="exact"/>
        <w:rPr>
          <w:rFonts w:ascii="Times New Roman" w:cs="Times New Roman" w:eastAsia="Times New Roman" w:hAnsi="Times New Roman"/>
          <w:sz w:val="18"/>
          <w:szCs w:val="18"/>
          <w:color w:val="auto"/>
        </w:rPr>
      </w:pPr>
    </w:p>
    <w:p>
      <w:pPr>
        <w:ind w:left="1020" w:right="18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regarding our future economic conditions or performance, statements of belief and any statement of assumptions underlying any of the foregoing; and</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99"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to us at the time of this Annual Report on Form 10-K and current expectations, forecasts and assumptions, and involve a number of judgments, risks and uncertainties. Accordingly, forward-looking statements should not be relied upon as representing our views as of any subsequent date, and except as otherwise required by applicable law,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75"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including those set forth in this Annual Report on Form 10-K in the section titled “Risk Factors” and in our periodic filings with the U.S. Securities and Exchange Commission (the “SEC”). Our SEC filings are available publicly on the SEC’s website at www.sec.gov. Given these risks and uncertainties, you should not place undue reliance on these forward-looking statements. Should one or more of the risks or uncertainties described in this Annual Report on Form 10-K, or should underlying</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spacing w:after="0" w:line="282" w:lineRule="auto"/>
        <w:rPr>
          <w:sz w:val="20"/>
          <w:szCs w:val="20"/>
          <w:color w:val="auto"/>
        </w:rPr>
      </w:pPr>
      <w:r>
        <w:rPr>
          <w:rFonts w:ascii="Times New Roman" w:cs="Times New Roman" w:eastAsia="Times New Roman" w:hAnsi="Times New Roman"/>
          <w:sz w:val="18"/>
          <w:szCs w:val="18"/>
          <w:color w:val="auto"/>
        </w:rPr>
        <w:t>assumptions prove incorrect, actual results and plans could differ materially from those expressed in any forward-looking statements. We qualify all of our forward-looking statements by these cautionary statements.</w:t>
      </w:r>
    </w:p>
    <w:p>
      <w:pPr>
        <w:spacing w:after="0" w:line="54"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This Annual Report on Form 10-K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 contained in this Annual Report on Form 10-K, and we believe these industry publications and third-party research, surveys and studies are reliable.</w:t>
      </w: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337"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Our ability to implement our business strategy is subject to numerous risks that you should be aware of before making an investment decision. These risks include the following, among others:</w:t>
      </w:r>
    </w:p>
    <w:p>
      <w:pPr>
        <w:spacing w:after="0" w:line="54" w:lineRule="exact"/>
        <w:rPr>
          <w:sz w:val="20"/>
          <w:szCs w:val="20"/>
          <w:color w:val="auto"/>
        </w:rPr>
      </w:pPr>
    </w:p>
    <w:p>
      <w:pPr>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inception, expect to incur significant losses for the foreseeable future and may not be able to achieve or sustain profitability in the future. We have no products for sale, have not generated any product revenue and may never generate product revenue or become profitable.</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in the future. If we are unable to raise such capital when needed, or on acceptable terms, we may be forced to delay, reduce or eliminate clinical trials, product development programs or future commercialization efforts.</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no products approved for commercial sale, which may make it difficult for you to evaluate our current business and likelihood of success and viability.</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developed or may develop programs for the diseases we plan to address with bempikibart or other product candidates.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Bempikibart and the rest of our pipeline are in early stages of development and may fail in development or suffer delays that materially and adversely affect their commercial viability. If we or our current or future collaborators are unable to complete development of, or commercialize, our product candidates,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most advanced product candidate, bempikibart, and our clinical trials of our lead candidate may not be successful.</w:t>
      </w:r>
    </w:p>
    <w:p>
      <w:pPr>
        <w:spacing w:after="0" w:line="53"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to develop and commercialize our product candidates are, and in the future may be, subject to the terms and conditions of licenses granted to us by others. If we fail to comply with our obligations in the agreements under which we license intellectual property rights from third parties, or these agreements are terminated, or we otherwise experience disruption to our business relationships with our licensors, we could lose license rights that are important to our business.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proprietary rights is uncertain, exposing us to the possible loss of competitive advantage.</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economic downturns, inflation, changes in interest rates, natural disasters, public health crises, political crises, government shutdowns, geopolitical events or other macroeconomic conditions, which could have a material and adverse effect on our results of operations and financial condition.</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in the supply and manufacture of our product candidates for our research, preclinical and clinical activities, and may do the same for commercial supplies of our product candidates.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and annual operating results may fluctuate in the future. As a result, we may fail to meet or exceed the expectations of research analysts or investors, which could cause our stock price to decline and negatively impact our financing or funding ability, as well as negatively impact our ability to exist as a standalone company.</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qualified key management and scientists, staff, consultants and advisors, our ability to implement our business plan may be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continued listing requirements of the Nasdaq Capital Market (“Nasdaq”) could result in a delisting of our securities.</w:t>
      </w:r>
    </w:p>
    <w:p>
      <w:pPr>
        <w:spacing w:after="0" w:line="252"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the section titled “Risk Factors” and the other information set forth in this Annual Report on Form 10-K,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are a clinical stage biotechnology company focused on developing novel biologics to effectively and safely restore healthy immune balance in patients with alopecia areata (“AA”) and other autoimmune and inflammatory diseases driven by pathological immune dysfunction.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Bempikibart (ADX-914)</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Bempikibart (ADX-914), our most advanced product candidate, is a fully human anti–interleukin-7 receptor alpha (“IL-7Rα”), antagonist monoclonal antibody designed to re-regulate adaptive immune function by potently blocking signaling mediated by interleukin-7 (“IL-7”), and thymic stromal lymphopoietin (“TSLP”). We have completed two Phase 2a clinical trials evaluating bempikibart, SIGNAL-AA Part A, for the treatment of AA, and SIGNAL-AD, for the treatment of atopic dermatitis (“AD”).</w:t>
      </w:r>
    </w:p>
    <w:p>
      <w:pPr>
        <w:spacing w:after="0" w:line="180"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In December 2024, we announced topline results from both of these trials, as well as our intention to advance bempikibart for the treatment of AA. In April 2025, we announced dosing of the first patients in both the Part A open-label extension and Part B of the SIGNAL-AA Phase 2a clinical trial and in October 2025, we announced completion of enrollment in SIGNAL-AA Part B. Bempikibart is being evaluated for the treatment of AA in the ongoing Part B of the SIGNAL-AA Phase 2a clinical trial. Enrollment has been completed in the Part B portion of the clinical trial, with 33 patients enrolled, and dosing remains ongoing. We expect to report 36-week topline data from the SIGNAL-AA Part B trial in mid-2026.</w:t>
      </w:r>
    </w:p>
    <w:p>
      <w:pPr>
        <w:spacing w:after="0" w:line="18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Patients in the SIGNAL-AA Part A and the SIGNAL-AD Phase 2a clinical trials were dosed with 200mg subcutaneous (“SC”) bempikibart every two weeks. In SIGNAL-AA Part A, 44 patients with severe and very severe AA were enrolled. Patients were dosed for 24 weeks and followed for an additional 12 weeks following the end of treatment. At the 24-week endpoint, we observed more hair regrowth in treated patients compared to placebo and evidence of durable responses in patients. The average hair regrowth across patients in the trial continued to improve from week 24 to week 36 despite patients being off therapy during the 12-week follow-up period. In AD, bempikibart was evaluated in two parts, Part A (15 patients) and Part B (106 patients). While encouraging results were seen in Part A, the primary endpoint was not met in Part B.</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Across the trials, at the 200mg Phase 2a dose, we achieved our desired receptor occupancy (“RO”) and observed favorable pharmacokinetics (“PK”)</w:t>
      </w:r>
    </w:p>
    <w:p>
      <w:pPr>
        <w:spacing w:after="0" w:line="27" w:lineRule="exact"/>
        <w:rPr>
          <w:sz w:val="20"/>
          <w:szCs w:val="20"/>
          <w:color w:val="auto"/>
        </w:rPr>
      </w:pPr>
    </w:p>
    <w:p>
      <w:pPr>
        <w:ind w:right="200" w:firstLine="8"/>
        <w:spacing w:after="0" w:line="260" w:lineRule="auto"/>
        <w:tabs>
          <w:tab w:leader="none" w:pos="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pharmacodynamic (“PD”) properties, consistent with those from the Phase 1 clinical trial. Minimal anti-drug antibodies (“ADAs”) were observed in the trials.</w:t>
      </w:r>
    </w:p>
    <w:p>
      <w:pPr>
        <w:spacing w:after="0" w:line="1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across the two trials, we observed changes in biomarkers consistent with the IL-7Rα mechanism and activity mediated by both the TSLP and IL-7 receptors. In the SIGNAL-AD trial, we observed meaningful decreases in key Th2 biomarkers of TARC, IgE, and eosinophils, each of which were statistically significant at multiple timepoints suggestive of potent TSLP inhibition. In the SIGNAL-AA trial, we observed a CD3+ T cell decrease, which was also statistically significant at multiple timepoints, suggestive of potent IL-7 inhibition. These findings were consistent with expected target engagement and IL-7Rα blockade. Across all clinical trials, bempikibart has been dosed in over 150 participants to-date and has demonstrated a favorable safety and tolerability profile, with no Grade 3 or higher related adverse events.</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Part B portion of SIGNAL-AA is an open-label clinical trial dosing severe or very severe AA patients with a maximum duration of current episode of four years. Patients will be treated with bempikibart for 36 weeks, with follow-up out to 52 weeks. Dosing includes an initial loading regimen of 200mg of bempikibart dosed weekly for four doses, followed by a maintenance dose of 200mg every-other-week over a 32-week period for a total dosing period of 36 weeks. Efficacy will be evaluated on the basis of mean percentage change from baseline in Severity of Alopecia Tool (“SALT”) scores as well as the proportion of subjects achieving various relative and absolute SALT score improvements at week 36, with follow-up through week 52. The trial is intended to support advancement into pivotal trials upon completion, pending review of the results. We expect to report 36-week topline data from the SIGNAL-AA Part B trial in mid-2026.</w:t>
      </w:r>
    </w:p>
    <w:p>
      <w:pPr>
        <w:spacing w:after="0" w:line="18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April 2025, we announced that the U.S. Food and Drug Administration (the “FDA”) has granted Fast Track designation (“FTD”) to bempikibart for the treatment of AA. FTD is a process designed to facilitate the development and expedite the review of new drugs to treat serious diseases and fill an unmet medical need with the purpose of getting important new drugs to patients earlier. A drug that receives FTD may be eligible for more frequent meetings and communications with the FDA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ind w:right="20"/>
        <w:spacing w:after="0" w:line="282" w:lineRule="auto"/>
        <w:rPr>
          <w:sz w:val="20"/>
          <w:szCs w:val="20"/>
          <w:color w:val="auto"/>
        </w:rPr>
      </w:pPr>
      <w:r>
        <w:rPr>
          <w:rFonts w:ascii="Times New Roman" w:cs="Times New Roman" w:eastAsia="Times New Roman" w:hAnsi="Times New Roman"/>
          <w:sz w:val="18"/>
          <w:szCs w:val="18"/>
          <w:color w:val="auto"/>
        </w:rPr>
        <w:t>discuss development plans and ensure the collection of appropriate data needed to support approval and for a rolling review of an application for marketing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ADX-097</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to bempikibart, our strategy has been focused on the advancement of our proprietary tissue-targeted complement inhibitor platform. ADX-097, a Phase 2 asset from this platform, is a humanized anti-C3d monoclonal antibody (“mAb”) fusion protein that completed Phase 1 clinical trials. However, in February 2025, we announced a corporate restructuring to focus on the advancement of bempikibart for the treatment of patients with AA. On November 28, 2025, we entered into an Asset Purchase Agreement with Akebia Therapeutics, Inc. (“Akebia”) pursuant to which we sold to Akebia substantially all of our assets related to the research, development, manufacture and commercialization of ADX-097 (the “ADX-097 Asset Sale”). Following the ADX-097 Asset Sale, Akebia is now responsible for the future development and commercialization of ADX-097. As consideration for the ADX-097 Asset Sale, we received an upfront payment of $7.0 million and will receive a payment of $3.0 million on the six-month anniversary of the transaction. We will also receive a near-term milestone payment of $2.0 million upon the earlier of achievement of the first milestone under the Asset Purchase Agreement or December 31, 2026. In addition to these payments, we are eligible to receive up to $580 million upon the achievement of specified milestones, including up to $92.5 million related to development and regulatory milestones and up to $487.5 million related to commercial milestones. We are also eligible to receive tiered royalties on potential future sales of ADX-097 ranging from low single-digit to mid-teen percentages of annual net sales. The royalties will expire on a country-by-country basis on the later to occur of (a) the date of expiration of the last-to-expire valid claim of any transferred patent right that covers such product in such country, and (b) the tenth anniversary of the first commercial sale of such product.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Pipeline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development pipeline is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171450</wp:posOffset>
            </wp:positionV>
            <wp:extent cx="5271770" cy="22542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7177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Figure 1: Our Development Pipeline.</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Bempikibart (ADX-914)</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Our most advanced product candidate, bempikibart, is a fully human antibody designed to potently block IL-7- and TSLP-mediated signaling via their cognate receptors. Increased levels of IL-7 and TSLP are associated with inflammatory and autoimmune diseases.</w:t>
      </w:r>
    </w:p>
    <w:p>
      <w:pPr>
        <w:spacing w:after="0" w:line="162"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 cell pathology has been strongly implicated in AA. TH1 has long been implicated in the pathogenesis of AA supporting the potential for bempikibart to directly address the underlying driver of follicle damage and hair loss. In addition, given that AA is a disease often diagnosed in young adults, there is a critical need for effective novel treatments with a safety profile suitable for long-term, chronic treatment.</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own and have in-licensed various patents, patent applications, know-how and trade secrets relating to the development and commercialization of our IL-7Rα -targeted antagonistic antibody therapy candidates and platform technologies. Patents that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 w:name="page8"/>
    <w:bookmarkEnd w:id="7"/>
    <w:p>
      <w:pPr>
        <w:ind w:right="300"/>
        <w:spacing w:after="0" w:line="282" w:lineRule="auto"/>
        <w:rPr>
          <w:sz w:val="20"/>
          <w:szCs w:val="20"/>
          <w:color w:val="auto"/>
        </w:rPr>
      </w:pPr>
      <w:r>
        <w:rPr>
          <w:rFonts w:ascii="Times New Roman" w:cs="Times New Roman" w:eastAsia="Times New Roman" w:hAnsi="Times New Roman"/>
          <w:sz w:val="18"/>
          <w:szCs w:val="18"/>
          <w:color w:val="auto"/>
        </w:rPr>
        <w:t>have issued or may issue in the future protect composition of the bempikibart product candidate to the beginning of 2040, and protect methods of use to 2044, excluding any patent term adjustments and/or any patent term extensions.</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have completed two Phase 2a clinical trials and are advancing bempikibart for the treatment of AA in the ongoing Phase 2a Part B clinical trial and Phase 2a Part A open-label extension trial.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ADX-096/Complement Inhibitor Platform</w:t>
      </w:r>
    </w:p>
    <w:p>
      <w:pPr>
        <w:spacing w:after="0" w:line="229"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In addition to ADX-097, we developed a proprietary tissue-targeted complement platform, which is designed to inhibit complement activation in the tissue while minimizing systemic complement blockade, a key differentiator versus current complement therapeutics. Other assets developed from our proprietary platform include ADX-096, a C3d mAb – CR1</w:t>
      </w:r>
      <w:r>
        <w:rPr>
          <w:rFonts w:ascii="Times New Roman" w:cs="Times New Roman" w:eastAsia="Times New Roman" w:hAnsi="Times New Roman"/>
          <w:sz w:val="24"/>
          <w:szCs w:val="24"/>
          <w:color w:val="auto"/>
          <w:vertAlign w:val="subscript"/>
        </w:rPr>
        <w:t>1-10</w:t>
      </w:r>
      <w:r>
        <w:rPr>
          <w:rFonts w:ascii="Times New Roman" w:cs="Times New Roman" w:eastAsia="Times New Roman" w:hAnsi="Times New Roman"/>
          <w:sz w:val="18"/>
          <w:szCs w:val="18"/>
          <w:color w:val="auto"/>
        </w:rPr>
        <w:t xml:space="preserve"> fusion protein with preclinical data supportive of its use in ophthalmologic indications as well as potential utility in a broad range of other indications, and C3d mAb fusions and nanobodies designed for tissue-targeted complement inhibition. We retain the rights to our wholly owned tissue-targeted complement inhibitor platform, including ADX-096 and other remaining early-stage assets, and are continuing to evaluate strategic options for these programs.</w:t>
      </w:r>
    </w:p>
    <w:p>
      <w:pPr>
        <w:spacing w:after="0" w:line="198" w:lineRule="exact"/>
        <w:rPr>
          <w:sz w:val="20"/>
          <w:szCs w:val="20"/>
          <w:color w:val="auto"/>
        </w:rPr>
      </w:pPr>
    </w:p>
    <w:p>
      <w:pPr>
        <w:jc w:val="both"/>
        <w:ind w:right="160" w:firstLine="509"/>
        <w:spacing w:after="0" w:line="289" w:lineRule="auto"/>
        <w:rPr>
          <w:sz w:val="20"/>
          <w:szCs w:val="20"/>
          <w:color w:val="auto"/>
        </w:rPr>
      </w:pPr>
      <w:r>
        <w:rPr>
          <w:rFonts w:ascii="Times New Roman" w:cs="Times New Roman" w:eastAsia="Times New Roman" w:hAnsi="Times New Roman"/>
          <w:sz w:val="17"/>
          <w:szCs w:val="17"/>
          <w:color w:val="auto"/>
        </w:rPr>
        <w:t>We believe that the tissue-directed approach to addressing complement dysregulation has the potential to drive improved efficacy and better safety across indications. This tissue-directed complement inhibiting approach also has the potential to avoid the additive infection risk associated with systemic complement treatments, which is of significant importance to patients where the underlying condition is marked by high mortality due to infection.</w:t>
      </w:r>
    </w:p>
    <w:p>
      <w:pPr>
        <w:spacing w:after="0" w:line="15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Complement activation is an essential part of innate and humoral immunity, and uncontrolled and sustained tissue complement activity plays a significant role in the pathogenesis of multiple human inflammatory and autoimmune diseases. The first approved complement inhibitor, eculizumab, targets C5 systemically, one of the effector arms of the complement pathway. The next generation of marketed and development stage complement therapeutics continue to rely on systemic complement blockade. While commercial and clinical success provide validation of complement as a therapeutic target, clinical experience reveals the inherent drawbacks of systemic inhibition as a therapeutic approach, including:</w:t>
      </w:r>
    </w:p>
    <w:p>
      <w:pPr>
        <w:spacing w:after="0" w:line="71"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limited activity </w:t>
      </w:r>
      <w:r>
        <w:rPr>
          <w:rFonts w:ascii="Times New Roman" w:cs="Times New Roman" w:eastAsia="Times New Roman" w:hAnsi="Times New Roman"/>
          <w:sz w:val="18"/>
          <w:szCs w:val="18"/>
          <w:color w:val="auto"/>
        </w:rPr>
        <w:t>due to reliance on systemic blockade for control of complement dysregulation at the tissue level;</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high treatment burden</w:t>
      </w:r>
      <w:r>
        <w:rPr>
          <w:rFonts w:ascii="Times New Roman" w:cs="Times New Roman" w:eastAsia="Times New Roman" w:hAnsi="Times New Roman"/>
          <w:sz w:val="18"/>
          <w:szCs w:val="18"/>
          <w:color w:val="auto"/>
        </w:rPr>
        <w:t>, including high doses and/or frequent administration due to high abundance and rapid turnover of most 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complement proteins;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infection risk </w:t>
      </w:r>
      <w:r>
        <w:rPr>
          <w:rFonts w:ascii="Times New Roman" w:cs="Times New Roman" w:eastAsia="Times New Roman" w:hAnsi="Times New Roman"/>
          <w:sz w:val="18"/>
          <w:szCs w:val="18"/>
          <w:color w:val="auto"/>
        </w:rPr>
        <w:t>due to systemic blockade.</w:t>
      </w:r>
    </w:p>
    <w:p>
      <w:pPr>
        <w:spacing w:after="0" w:line="22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Our aim is to solve for these inherent drawbacks with our proprietary approach designed to generate tissue targeted inhibitors of complement activation, which have the following advantages:</w:t>
      </w:r>
    </w:p>
    <w:p>
      <w:pPr>
        <w:spacing w:after="0" w:line="50"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activity </w:t>
      </w:r>
      <w:r>
        <w:rPr>
          <w:rFonts w:ascii="Times New Roman" w:cs="Times New Roman" w:eastAsia="Times New Roman" w:hAnsi="Times New Roman"/>
          <w:sz w:val="18"/>
          <w:szCs w:val="18"/>
          <w:color w:val="auto"/>
        </w:rPr>
        <w:t>through tissue targeted inactivation of convertases directly at the site of destruction;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convenient dosing </w:t>
      </w:r>
      <w:r>
        <w:rPr>
          <w:rFonts w:ascii="Times New Roman" w:cs="Times New Roman" w:eastAsia="Times New Roman" w:hAnsi="Times New Roman"/>
          <w:sz w:val="18"/>
          <w:szCs w:val="18"/>
          <w:color w:val="auto"/>
        </w:rPr>
        <w:t>with a subcutaneous route and weekly dosing, with potential for every 2 week dosing;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improved risk/benefit profile </w:t>
      </w:r>
      <w:r>
        <w:rPr>
          <w:rFonts w:ascii="Times New Roman" w:cs="Times New Roman" w:eastAsia="Times New Roman" w:hAnsi="Times New Roman"/>
          <w:sz w:val="18"/>
          <w:szCs w:val="18"/>
          <w:color w:val="auto"/>
        </w:rPr>
        <w:t>by maximizing therapeutic index while maintaining intact systemic immune surveillance.</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retain the rights to our wholly owned tissue-targeted complement inhibitor platform, including ADX-096 and other remaining early-stage assets and are continuing to evaluate strategic options for these programs.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assembled a team of industry-leading research, drug development, and operational experts, who have deep experience in advancing drug candidates in autoimmune and inflammatory diseases. The team is led by Jodie Morrison, our Chief Executive Officer, who brings extensive biopharma leadership experience from early stage through mid-size public biotech and pharmaceutical companies; Shelia Violette, Ph.D., Founder and Chief Scientific Officer, has more than 30 years of biotech experience in inflammatory and autoimmune diseases and served as an Entrepreneur in Residence at Atlas Venture; Lee Kalowski, President and Chief Financial Officer, has 20 years of life science industry experience and has previously served as CFO at multiple biotech companies and in equity research; Maria Marzilli, Chief Business Officer, has over 20 years of industry experience across strategy, corporate development, and program and alliance management.</w:t>
      </w:r>
    </w:p>
    <w:p>
      <w:pPr>
        <w:spacing w:after="0" w:line="18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company was built upon the discoveries and findings from renowned researchers in immunology: Michael Holers, M.D. and Joshua Thurman, M.D., from the University of Colorado and Stephen Tomlinson, Ph.D. from the Medical University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ind w:right="420"/>
        <w:spacing w:after="0" w:line="282" w:lineRule="auto"/>
        <w:rPr>
          <w:sz w:val="20"/>
          <w:szCs w:val="20"/>
          <w:color w:val="auto"/>
        </w:rPr>
      </w:pPr>
      <w:r>
        <w:rPr>
          <w:rFonts w:ascii="Times New Roman" w:cs="Times New Roman" w:eastAsia="Times New Roman" w:hAnsi="Times New Roman"/>
          <w:sz w:val="18"/>
          <w:szCs w:val="18"/>
          <w:color w:val="auto"/>
        </w:rPr>
        <w:t>of South Carolina. They are pioneers in the field of tissue targeted regulation of complement system. The portfolio was expanded in 2019 with the in-licensing of bempikibart, currently our most advanced product candidate.</w:t>
      </w:r>
    </w:p>
    <w:p>
      <w:pPr>
        <w:spacing w:after="0" w:line="16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we have been supported by leading biotechnology investors and pharmaceutical companies including OrbiMed, Atlas Venture, Abingworth, Bristol-Myers Squibb, Acorn Bioventures, Osage University Partners, CU Healthcare Innovation Fund and Sanofi Ventures.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mission is to develop therapeutics that restore healthy immune regulation for patients with severe autoimmune and inflammatory diseases. Our strategic initiatives are to:</w:t>
      </w:r>
    </w:p>
    <w:p>
      <w:pPr>
        <w:spacing w:after="0" w:line="50" w:lineRule="exact"/>
        <w:rPr>
          <w:sz w:val="20"/>
          <w:szCs w:val="20"/>
          <w:color w:val="auto"/>
        </w:rPr>
      </w:pPr>
    </w:p>
    <w:p>
      <w:pPr>
        <w:jc w:val="both"/>
        <w:ind w:left="1020" w:right="160" w:hanging="503"/>
        <w:spacing w:after="0" w:line="26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 bempikibart for the treatment of AA in the SIGNAL-AA Phase 2a Part B clinical trial. </w:t>
      </w:r>
      <w:r>
        <w:rPr>
          <w:rFonts w:ascii="Times New Roman" w:cs="Times New Roman" w:eastAsia="Times New Roman" w:hAnsi="Times New Roman"/>
          <w:sz w:val="18"/>
          <w:szCs w:val="18"/>
          <w:color w:val="auto"/>
        </w:rPr>
        <w:t>In Part B, we enrolled 33 patients for 36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of treatment, with follow-up through 52 weeks. We expect to report 36-week topline data from the SIGNAL-AA Part B trial in mid-2026. The trial is intended to support advancement into pivotal trials upon completion, pending review of the results;</w:t>
      </w:r>
    </w:p>
    <w:p>
      <w:pPr>
        <w:spacing w:after="0" w:line="62" w:lineRule="exact"/>
        <w:rPr>
          <w:rFonts w:ascii="Times New Roman" w:cs="Times New Roman" w:eastAsia="Times New Roman" w:hAnsi="Times New Roman"/>
          <w:sz w:val="18"/>
          <w:szCs w:val="18"/>
          <w:color w:val="auto"/>
        </w:rPr>
      </w:pPr>
    </w:p>
    <w:p>
      <w:pPr>
        <w:ind w:left="1020" w:hanging="503"/>
        <w:spacing w:after="0" w:line="26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 bempikibart for the treatment of AA in the SIGNAL-AA Phase 2a Part A open-label extension (OLE)</w:t>
      </w:r>
      <w:r>
        <w:rPr>
          <w:rFonts w:ascii="Times New Roman" w:cs="Times New Roman" w:eastAsia="Times New Roman" w:hAnsi="Times New Roman"/>
          <w:sz w:val="18"/>
          <w:szCs w:val="18"/>
          <w:color w:val="auto"/>
        </w:rPr>
        <w:t>. We initiated an open-label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extension (OLE) following the same bempikibart dosing regimen leveraged in Part A to enable longer-term follow-up of patients and to further elucidate the durability of response and potential remittive effect;</w:t>
      </w:r>
    </w:p>
    <w:p>
      <w:pPr>
        <w:spacing w:after="0" w:line="62" w:lineRule="exact"/>
        <w:rPr>
          <w:rFonts w:ascii="Times New Roman" w:cs="Times New Roman" w:eastAsia="Times New Roman" w:hAnsi="Times New Roman"/>
          <w:sz w:val="18"/>
          <w:szCs w:val="18"/>
          <w:color w:val="auto"/>
        </w:rPr>
      </w:pPr>
    </w:p>
    <w:p>
      <w:pPr>
        <w:ind w:left="1020" w:right="260" w:hanging="503"/>
        <w:spacing w:after="0" w:line="26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Maximize value of our tissue-targeted complement inhibitor platform. </w:t>
      </w:r>
      <w:r>
        <w:rPr>
          <w:rFonts w:ascii="Times New Roman" w:cs="Times New Roman" w:eastAsia="Times New Roman" w:hAnsi="Times New Roman"/>
          <w:sz w:val="18"/>
          <w:szCs w:val="18"/>
          <w:color w:val="auto"/>
        </w:rPr>
        <w:t>We believe that the tissue-directed approach to addressing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complement dysregulation has the potential to drive improved efficacy and better safety across indications and we intend to maximize the value of ADX-096 and our tissue-targeted complement inhibitor platform as we evaluate our strategic options.</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Our Programs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Bempikibart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Bempikibart blocks both IL-7 and TSLP cytokine signaling pathways. IL-7 lowers the threshold needed for T cells to respond in low antigen microenvironments promoting pathogenic T-effector cell function, induces TH2 cell-mediated antibody production, and inhibits the immunosuppressive properties of T regulatory cells. When uncontrolled, IL-7 can promote inflammation and autoimmune disease. By blocking IL-7 signaling, we believe bempikibart has the potential to re-regulate immunity by rebalancing the T-effector / T-regulatory ratio to inhibit inflammation and invoke tolerance, and mitigating T-cell dependent autoantibody responses. TSLP is a cytokine that promotes TH2 cell differentiation and production of TH2 cytokines, such as IL-4, IL-5, and IL-13, and promotes inflammation, particularly at the epidermis, in response to environmental stimuli. IL-7 and TSLP signaling have been biologically linked to numerous inflammatory and autoimmune diseases including our initial target diseases of AA and AD. The figure below illustrates the mechanistic rationale for bempikibart.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150495</wp:posOffset>
            </wp:positionV>
            <wp:extent cx="5357495" cy="3531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57495" cy="353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Figure 2: Bempikibart Has the Potential to Inhibit Pathogenic T-cells That Directly Drive Hair Follicle Destruction and Suppress the Function of T-regulatory Cells.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Rights to Bempikibart</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October 2023, Amgen Inc. (“Amgen”) completed the acquisition of Horizon Therapeutics public limited company (“Horizon plc”). Following the acquisition, Legacy Q32 agreed with Amgen to mutually terminate the Collaboration and Option Agreement (the “Horizon Collaboration Agreement”) and the Asset Purchase Agreement (the “Purchase Agreement”, and together with the Horizon Collaboration Agreement, the “Horizon Agreements”), each between Legacy Q32 and Horizon Therapeutics Ireland DAC (“Horizon”).</w:t>
      </w:r>
    </w:p>
    <w:p>
      <w:pPr>
        <w:spacing w:after="0" w:line="7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November 2023, Legacy Q32 entered into a termination agreement with Horizon (the “Horizon Termination Agreement”), pursuant to which Horizon’s option to acquire the bempikibart program was terminated. As a result, Legacy Q32 retained the initial consideration and development funding received under the Horizon Collaboration Agreement and regained full development and commercial rights to bempikibart. In consideration for the Horizon Termination Agreement, Legacy Q32 agreed to pay Horizon regulatory and sales milestones payments of up to an aggregate amount of $75.1 million upon the first achievement of certain regulatory and sales milestones with respect to bempikibart.</w:t>
      </w:r>
    </w:p>
    <w:p>
      <w:pPr>
        <w:spacing w:after="0" w:line="7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November 2025, we entered into an amendment to the Horizon Termination Agreement (the “Amgen Amendment”) with Amgen, pursuant to which we issued Horizon a one-time equity grant of 553,695 shares of our common stock as full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0" w:name="page11"/>
    <w:bookmarkEnd w:id="10"/>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consideration of the milestone payments under the Horizon Termination Agreement. Following the transactions contemplated by the Amgen Amendment, we have no remaining obligations to Amgen, including with respect to the $75.1 million in regulatory and sales-based milestone payments set forth in the Horizon Collaboration Agreement. For more information, see the section titled “Business—Collaboration and License Agreements” in this Annual Report on Form 10-K.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Bempikibart Preclinical and Clinical Data</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Bempikibart was evaluated in a series of in vitro assays and demonstrated potent inhibition of IL-7-and TSLP-mediated intracellular signaling.</w:t>
      </w:r>
    </w:p>
    <w:p>
      <w:pPr>
        <w:spacing w:after="0" w:line="225"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Bempikibart, or a mouse surrogate, SB14, was evaluated in vivo in animal models of inflammation and autoimmunity. Activity was observed as determined by various endpoints, including disease activity measures, body weight, inflammatory cytokine production and tissue damage.</w:t>
      </w:r>
    </w:p>
    <w:p>
      <w:pPr>
        <w:spacing w:after="0" w:line="16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Preclinical studies evaluating bempikibart PK, PD and toxicology were carried out in non-Good Laboratory Practice (“GLP”) single dose and GLP repeat dose studies of 6 weeks, 3-months, and 6-months duration in cynomolgus monkeys. Bempikibart exposure was maintained above the desired PK threshold throughout the dosing phase in most animals despite detectable ADAs. PD evaluations included T cell receptor occupancy (“RO”) inhibition of IL-7–induced phosphorylation of STAT5 (“pSTAT5”) an immediate proximal marker of IL-7R intracellular signaling, and keyhole limpet hemocyanin (“KLH”) induced T cell dependent antibody response. There was a favorable PK/PD relationship, with bempikibart demonstrating &gt;95% RO, ≥90% inhibition of pSTAT5 and up to 80% suppression of a KLH-induced IgG response.</w:t>
      </w:r>
    </w:p>
    <w:p>
      <w:pPr>
        <w:spacing w:after="0" w:line="18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Bempikibart was generally well tolerated in all preclinical studies described above. The no-observed-adverse-effect level (“NOAEL”) in the 6-month GLP study was 150 mg/kg, the highest dose tested, with exposure &gt;50x the anticipated area under the curve at the dose presently being utilized for the ongoing Phase 2 studies.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 Clinical Trial Results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completed a Phase 1 trial to assess the safety, PK, and PD of bempikibart after subcutaneous (“SC”) administration in healthy volunteers. Pharmacodynamic analyses showed bempikibart treatment at SC doses achieving desired RO and inhibition of IL-7 mediated intracellular signaling, as demonstrated by phosphorylation of STAT5 (“pSTAT5”) in T-cells. At doses greater than 1 mg/kg, bempikibart demonstrated sustained full RO for at least 2 weeks. In addition, a separate analysis of overall numbers of lymphocytes and lymphocyte subsets demonstrated modest, dose-dependent effects consistent with the expected and desired bempikibart pharmacology.</w:t>
      </w:r>
    </w:p>
    <w:p>
      <w:pPr>
        <w:spacing w:after="0" w:line="183"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Safety data showed that bempikibart demonstrated a favorable safety profile at single doses up to the highest evaluated dose of 4 mg/kg and repeat doses of 1 mg/kg every 2 weeks in healthy subjects. There were no safety-related treatment discontinuations, no serious or severe AEs reported, and no deaths.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Role of IL-7 and TSLP in AA</w:t>
      </w:r>
    </w:p>
    <w:p>
      <w:pPr>
        <w:spacing w:after="0" w:line="117" w:lineRule="exact"/>
        <w:rPr>
          <w:sz w:val="20"/>
          <w:szCs w:val="20"/>
          <w:color w:val="auto"/>
        </w:rPr>
      </w:pPr>
    </w:p>
    <w:p>
      <w:pPr>
        <w:ind w:right="200" w:firstLine="517"/>
        <w:spacing w:after="0" w:line="266" w:lineRule="auto"/>
        <w:tabs>
          <w:tab w:leader="none" w:pos="81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immune-mediated disorder that results in hair loss and shares some similarity in pathophysiology with AD. Studies have indicated that multiple immunomodulators are involved in the development of AA, with hair follicle immune privilege collapse being a key marker in the course of the disease. Immune system activation in lesional skin contributes to the progression of disease.</w:t>
      </w:r>
    </w:p>
    <w:p>
      <w:pPr>
        <w:spacing w:after="0" w:line="176" w:lineRule="exact"/>
        <w:rPr>
          <w:sz w:val="20"/>
          <w:szCs w:val="20"/>
          <w:color w:val="auto"/>
        </w:rPr>
      </w:pPr>
    </w:p>
    <w:p>
      <w:pPr>
        <w:ind w:right="600" w:firstLine="509"/>
        <w:spacing w:after="0" w:line="266" w:lineRule="auto"/>
        <w:rPr>
          <w:sz w:val="20"/>
          <w:szCs w:val="20"/>
          <w:color w:val="auto"/>
        </w:rPr>
      </w:pPr>
      <w:r>
        <w:rPr>
          <w:rFonts w:ascii="Times New Roman" w:cs="Times New Roman" w:eastAsia="Times New Roman" w:hAnsi="Times New Roman"/>
          <w:sz w:val="18"/>
          <w:szCs w:val="18"/>
          <w:color w:val="auto"/>
        </w:rPr>
        <w:t>IL-7 has been shown to be involved in the pathogenesis of AA. IL-7 expression is upregulated at the site of AA lesions and animal studies demonstrated IL-7–dependent acceleration of disease progression and beneficial effects with IL-7Rα inhibition. Cumulatively, substantial evidence suggests that inhibition of IL-7Rα may be an effective modulator of the T-cell response that could act to reverse alopecia.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Treatment Landscape and Unmet Need in AA</w:t>
      </w:r>
    </w:p>
    <w:p>
      <w:pPr>
        <w:spacing w:after="0" w:line="225" w:lineRule="exact"/>
        <w:rPr>
          <w:sz w:val="20"/>
          <w:szCs w:val="20"/>
          <w:color w:val="auto"/>
        </w:rPr>
      </w:pPr>
    </w:p>
    <w:p>
      <w:pPr>
        <w:ind w:right="140" w:firstLine="517"/>
        <w:spacing w:after="0" w:line="258" w:lineRule="auto"/>
        <w:tabs>
          <w:tab w:leader="none" w:pos="81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autoimmune condition that affects hair follicles and leads to hair loss. This condition may develop at any age and in both sexes, and the incidence of this disease has been estimated to be 2% of the population worldwide. The disease most commonly affects scalp and facial hair and although some patients recover spontaneously, many patients progress to alopecia totalis (total scalp hair loss) or alopecia universalis (total body hair loss). The disease is associated with significant quality of life impairment and is associated with a high burden of psychosocial comorbidities, such as depression. Although pathophysiology</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 w:name="page12"/>
    <w:bookmarkEnd w:id="11"/>
    <w:p>
      <w:pPr>
        <w:ind w:right="120"/>
        <w:spacing w:after="0" w:line="266" w:lineRule="auto"/>
        <w:rPr>
          <w:sz w:val="20"/>
          <w:szCs w:val="20"/>
          <w:color w:val="auto"/>
        </w:rPr>
      </w:pPr>
      <w:r>
        <w:rPr>
          <w:rFonts w:ascii="Times New Roman" w:cs="Times New Roman" w:eastAsia="Times New Roman" w:hAnsi="Times New Roman"/>
          <w:sz w:val="18"/>
          <w:szCs w:val="18"/>
          <w:color w:val="auto"/>
        </w:rPr>
        <w:t>has not been fully delineated, development of the condition is mediated by inflammatory mechanisms, and it is thought to have genetic and environmental components. IL-7 upregulation has been shown to be involved in the pathogenesis of AA, and evidence suggests that inhibition of IL-7Rα may be an effective modulator of the T-cell response driving injury in the disease.</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Janus kinase (“JAK”) inhibitors are the only current FDA-approved treatments for severe and very severe AA. Although JAK inhibitors have demonstrated hair regrowth in patients with severe disease (≥50% hair loss), responsiveness is often not durable after treatment cessation and the drug class carries increased risk of serious side effects that may preclude this option for some patient populations. Other standard-of-care approaches for AA include topical corticosteroids, immunotherapy, and light therapy, as well as the off-label use of other therapies. Because hair loss can affect such disparate body locations, these treatments often have limited usefulness across the patient population.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Further Clinical Development of Bempikibart: Clinical Trial Plan</w:t>
      </w:r>
    </w:p>
    <w:p>
      <w:pPr>
        <w:spacing w:after="0" w:line="117"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For patients with a wide range of autoimmune diseases, we believe the blockade of IL-7 and/or TSLP signaling may offer a new therapeutic approach to modulate the autoimmune response. A high unmet medical need exists for more broadly effective therapies in these conditions, and we are developing bempikibart with the goal of addressing this need. Based on the totality of data to date, bempikibart has shown a favorable safety profile and has not been associated with clinically meaningful ADA. At exposures that can be achieved via SC administration, bempikibart has shown full receptor occupancy and signaling inhibition.</w:t>
      </w:r>
    </w:p>
    <w:p>
      <w:pPr>
        <w:spacing w:after="0" w:line="183"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Overall, the available clinical and nonclinical data for bempikibart support the continued clinical development of bempikibart. To this end, we are continuing to advance bempikibart into Part B of the SIGNAL-AA Phase 2a Clinical Trial.</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SIGNAL-AA Phase 2a Clinical Trial</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SIGNAL-AA is a Phase 2a, randomized, double-blind, placebo-controlled, proof-of-concept clinical trial evaluating the efficacy, safety and tolerability of bempikibart in participants with severe and very severe AA, as defined by a baseline Severity of Alopecia Tool (“SALT”) score of 50-100. In Part A of the trial, bempikibart or placebo was dosed SC for 24 weeks, with a follow-up period of 12 weeks. Following completion of the SIGNAL-AA Part A clinical trial, eligible patients were allowed to enroll in the SIGNAL-AA Part A open label extension (“OLE”) to enable longer-term follow-up. The SIGNAL-AA Part A OLE clinical trial remains ongoing.</w:t>
      </w:r>
    </w:p>
    <w:p>
      <w:pPr>
        <w:spacing w:after="0" w:line="18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study recruited adults with a current episode of severe hair loss with no spontaneous improvement over the past six months, along with the investigator’s assessment that hair loss had been stable for at least three months and regrowth was possible.</w:t>
      </w:r>
    </w:p>
    <w:p>
      <w:pPr>
        <w:spacing w:after="0" w:line="16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Forty-four participants were enrolled and randomly assigned (3:1) to receive 200 mg bempikibart or placebo administered SC every two weeks for 24 weeks. The primary efficacy endpoint was the mean relative percent change in SALT score at 24 weeks compared with baseline. A key secondary endpoint was the percentage of patients achieving a SALT score of less than or equal to 20 (SALT-20) compared to placebo. Patients were followed for an additional 12 weeks after end of treatment.</w:t>
      </w:r>
    </w:p>
    <w:p>
      <w:pPr>
        <w:spacing w:after="0" w:line="180" w:lineRule="exact"/>
        <w:rPr>
          <w:sz w:val="20"/>
          <w:szCs w:val="20"/>
          <w:color w:val="auto"/>
        </w:rPr>
      </w:pPr>
    </w:p>
    <w:p>
      <w:pPr>
        <w:ind w:right="500" w:firstLine="509"/>
        <w:spacing w:after="0" w:line="261" w:lineRule="auto"/>
        <w:rPr>
          <w:sz w:val="20"/>
          <w:szCs w:val="20"/>
          <w:color w:val="auto"/>
        </w:rPr>
      </w:pPr>
      <w:r>
        <w:rPr>
          <w:rFonts w:ascii="Times New Roman" w:cs="Times New Roman" w:eastAsia="Times New Roman" w:hAnsi="Times New Roman"/>
          <w:sz w:val="18"/>
          <w:szCs w:val="18"/>
          <w:color w:val="auto"/>
        </w:rPr>
        <w:t>Compared to placebo, the average hair regrowth and achievement of SALT-20 was greater in patients on bempikibart compared to patients on placebo. Average hair re-growth continued to improve in the 12-week period through week 36, despite patients being off therapy. Bempikibart was observed to be generally well tolerated in the SIGNAL-AA trial. There were no serious adverse events (“SAEs”) or Grade 3 or higher adverse events related to treatment.</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SIGNAL-AA Part B is an open-label clinical trial that enrolled 33 severe or very severe AA patients with a maximum duration of current episode of four years. Patients are treated with bempikibart for 36 weeks, with follow-up out to 52 weeks. Dosing includes an initial loading regimen of 200mg of bempikibart dosed weekly for four doses, followed by a maintenance dose of 200mg every-other-week over a 32-week period for a total of 36 weeks. Efficacy will be evaluated on the basis of mean percentage change from baseline in SALT scores as well as the proportion of subjects achieving various relative and absolute SALT improvements at week 36, with follow-up through week 52. The trial is intended to enable advancement into pivotal trials upon completion, pending review of the results. We expect to report 36-week topline data from the SIGNAL-AA Part B trial in mid-2026.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Bempikibart—License Agreement – Bristol-Myers Squibb Company</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September 2019, we entered into a license agreement, as amended in August 2021 and July 2022 (the “BMS License Agreement”) with Bristol-Myers Squibb Company (“BMS”), pursuant to which we obtained sublicensable licenses from BMS to research, develop and commercialize licensed products, including bempikibart, for any and all uses worldwide. The licenses granted to us are exclusive with respect to BMS’s patent rights and know-how relating to certain antibody fragments (including certain fragments of bempikibart) and non-exclusive with respect to BMS’s patent rights and know-how relating to the composition of matter and use of a specific region of bempikibart. BMS retained the right for it and its affiliates to use the exclusively licensed patents and know-how for internal, preclinical research purposes. Under the BMS License Agreement, we are prohibited from engaging in certain clinical development or commercialization of any antibody other than a licensed compound with the same mechanism of action until the earlier of the expiration of our obligation to pay BMS royalties or September 2029.</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consideration for the license, we made an upfront payment to BMS of $8 million, issued 6,628,788 Series A preferred shares to BMS and agreed to use commercially reasonable efforts to develop and commercialize at least one licensed product in key geographic markets. In addition, we agreed to pay BMS (i) development and regulatory milestone payments in aggregate amounts ranging from $32 million to $49 million per indication for the first three indications and commercial milestone payments in an aggregate amount of up to $215 million on net sales of licensed products, (ii) tiered royalties ranging from rates in the mid-single digit percentages to up to 10% of net sales, with increasing rates depending on the cumulative net sales, (iii) up to 60% of sublicense income, which percentage decreases based on the development stage of bempikibart at the time of the sublicensing event, and (iv) ongoing fees associated with the prosecution, maintenance, or filing of the licensed patents.</w:t>
      </w:r>
    </w:p>
    <w:p>
      <w:pPr>
        <w:spacing w:after="0" w:line="18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obligation to pay BMS royalties under subsection (ii) above commences, on a licensed product-by-licensed product and country-by-country basis, on the first commercial sale of a licensed product in a country and expires on the later of (x) 12 years from the first commercial sale of such licensed product in such country, (y) the last to expire licensed patent right covering bempikibart or such licensed product in such country, and (z) the expiration or regulatory or marketing exclusivity for such licensed product in such country (the “Royalty Term”). If we undergo a change of control prior to certain specified phase of development, the development and milestone payments are subject to increase by a low double-digit percentage and the royalty rates are subject to increase by a low sub-single-digit percentage.</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Unless terminated earlier by either party pursuant to its terms, the BMS License Agreement will expire on a country-by-country and licensed product-by-licensed product basis upon the expiration of the last to expire Royalty Term with respect to such licensed product in such country. Either party may terminate the BMS License Agreement for the other party’s material breach, subject to a specified notice and cure period. BMS may terminate the BMS License Agreement if we fail to meet its diligence obligations under the BMS License Agreement, for our insolvency, or if we or our affiliates challenges the validity, scope, enforceability, or patentability of any of the licensed patents. We may terminate the BMS License Agreement for any reason upon prior written notice to BMS, with a longer notice period if a licensed product has received regulatory approval. If the BMS Agreement is terminated for our material breach, BMS will regain rights to bempikibart and we must grant BMS an exclusive license under our patent rights covering bempikibart, subject to a low single-digit percentage royalty on net sales of bempikibart payable to us by BMS.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Bempikibart – Collaboration and Option Agreement, Asset Purchase Agreement and Termination Agreement – Horizon Therapeutics Ireland DAC</w:t>
      </w:r>
    </w:p>
    <w:p>
      <w:pPr>
        <w:spacing w:after="0" w:line="119" w:lineRule="exact"/>
        <w:rPr>
          <w:sz w:val="20"/>
          <w:szCs w:val="20"/>
          <w:color w:val="auto"/>
        </w:rPr>
      </w:pPr>
    </w:p>
    <w:p>
      <w:pPr>
        <w:jc w:val="both"/>
        <w:ind w:right="580" w:firstLine="509"/>
        <w:spacing w:after="0" w:line="266" w:lineRule="auto"/>
        <w:rPr>
          <w:sz w:val="20"/>
          <w:szCs w:val="20"/>
          <w:color w:val="auto"/>
        </w:rPr>
      </w:pPr>
      <w:r>
        <w:rPr>
          <w:rFonts w:ascii="Times New Roman" w:cs="Times New Roman" w:eastAsia="Times New Roman" w:hAnsi="Times New Roman"/>
          <w:sz w:val="18"/>
          <w:szCs w:val="18"/>
          <w:color w:val="auto"/>
        </w:rPr>
        <w:t>From August 2022 until November 2023, Legacy Q32 was a party to the Horizon Agreements with Horizon, pursuant to which Legacy Q32 received $55.0 million in initial consideration and staged development funding to complete two ongoing Phase 2 trials for bempikibart, and granted Horizon an option to acquire the bempikibart program at a prespecified price, subject to certain adjustments.</w:t>
      </w:r>
    </w:p>
    <w:p>
      <w:pPr>
        <w:spacing w:after="0" w:line="176"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In October 2023, Amgen completed the acquisition of Horizon plc. Following the acquisition of Horizon plc, Legacy Q32 agreed with Amgen to mutually terminate the Horizon Agreements and in November 2023, Legacy Q32 entered into the Horizon Termination Agreement, pursuant to which Horizon’s option to acquire the bempikibart program was terminated. As a result, Legacy Q32 retained all initial consideration and development funding received under the Horizon Collaboration Agreement and regained full development and commercial rights to bempikibart. In consideration for the Horizon Termination Agreement, Legacy Q32 agreed to pay Horizon regulatory and sales milestones payments of up to an aggregate amount of $75.1 million upon the first achievement of certain regulatory and sales milestones with respect to bempikibart.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3" w:name="page14"/>
    <w:bookmarkEnd w:id="13"/>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November 7, 2025, we entered into the Amgen Amendment pursuant to which we issued Horizon a one-time equity grant of 553,695 shares of our common stock as full consideration of the milestone payments outlined in the Horizon Termination Agreement. Following the transactions contemplated by the Amgen Amendment, we have no remaining obligations to Amgen, including with respect to the $75.1 million in regulatory and sales-based milestone payments set forth in the Horizon Collaboration Agreement. Therefore, we derecognized the refund liability previously recorded for the $55.0 million of cash received under the Horizon Collaboration Agreement and recognized collaboration arrangement revenue for the difference between the equity issuance, and the refund liability as the consideration was no longer constrained.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ADX-097—License Agreement – The Regents of the University of Colorado</w:t>
      </w:r>
    </w:p>
    <w:p>
      <w:pPr>
        <w:spacing w:after="0" w:line="11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In August 2017, we entered into an exclusive license agreement, as amended in February 2018, September 2018, and April 2019 (the “Colorado License Agreement”) with The Regents of the University of Colorado (“Colorado”), pursuant to which we obtained worldwide, royalty-bearing, sublicensable licenses under certain patents and know-how owned by Colorado and Medical University of South Carolina (“MUSC”) relating to the research, development and commercialization of ADX-097. The licenses granted to us are exclusive with respect to certain patent families and know-how and non-exclusive with certain other patent families and know-how. The licenses granted to us are also subject to certain customary retained rights of Colorado and MUSC and rights of the United States government owing to federal funding giving rise to inventions covered by the licensed patents. We agreed to use commercially reasonable efforts to develop, manufacture and commercialize ADX-097, including by using commercially reasonable efforts to achieve specified development and regulatory milestones by specified dates.</w:t>
      </w:r>
    </w:p>
    <w:p>
      <w:pPr>
        <w:spacing w:after="0" w:line="19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addition, we agreed to pay Colorado (i) development and sales milestone payments in an aggregate amount of up to $2.2 million per licensed product for the first three products, (ii) tiered royalty rates on cumulative net sales of licensed products in the low single digit percentages, (iii) 15% of sublicense income and (iv) ongoing fees associated with the prosecution, maintenance, or filing of the licensed patents. Our obligation to pay royalties to Colorado commences, on a licensed product-by-licensed product and country-by-country basis, from the first commercial sale of a licensed product in any country and expires on the later of (i) the last to expire valid claim within the licensed patents covering such licensed product in such country, and (ii) 20 years following the effective date of the Colorado License Agreement, or April 2037 (the “Royalty Term”).</w:t>
      </w:r>
    </w:p>
    <w:p>
      <w:pPr>
        <w:spacing w:after="0" w:line="18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On November 28, 2025, in connection with the ADX-097 Asset Sale, the Colorado License Agreement was amended and restated and all of our rights and obligations thereunder were transferred to Akebia.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expect to face intense competition from other biopharmaceutical companies that are developing agents for the treatment of autoimmune and inflammatory diseases. Drug development is highly competitive and subject to rapid and significant technological advancements. Our ability to compete will significantly depend upon our ability to complete necessary clinical trials and regulatory approval processes, and effectively market any drug that we may successfully develop. Our current and potential future competitors include pharmaceutical and biotechnology companies, as well as academic institutions and government agencies. The primary competitive factors that will affect the commercial success of any product candidate for which we may receive marketing approval include efficacy, safety and tolerability profile, dosing convenience, price, coverage, reimbursement and public opinion. 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U.S. and in foreign countries. Our current and potential future competitors also have significantly more experience commercializing drugs that have been approved for marketing. Mergers and acquisitions in the biopharmaceutical industry could result in even more resources being concentrated among a small number of our competitors. Accordingly, competitors may be more successful than us in obtaining regulatory approval for therapies and in achieving widespread market acceptance of their drugs. It is also possible that the development of a cure or more effective treatment method for any of our targeted indications by a competitor could render our product candidate non-competitive or obsolete, or reduce the demand for our product candidate before we can recover its development and commercialization expenses.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facilities for product manufacturing, testing, storage, and distribution. We contract with third parties for the manufacture, storage and distribution of our product candidates. Because we rely on contract manufacturers, we employ and contract with personnel with extensive technical, manufacturing, analytical and quality experience. Our staff has strong knowledge and understanding of the extensive regulations that govern manufacturing, documentation, quality assurance, and quality control of drug supply that are required to support our regulatory filings.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are commercially important to our business, including by seeking, maintaining, and defending patent rights, whether developed internally or licensed from third parties. We also rely on trade secrets and know-how relating to our proprietary technology and product candidates, continuing technological innovation, and in-licensing opportunities to develop, strengthen, and maintain our proprietary position in the field of autoimmune and inflammatory diseases. Our future success depends, in part, on our ability to obtain and maintain patent and other proprietary protection for our commercially important technology, inventions, and know-how, defend and enforce our intellectual property rights (in particular our patent rights), preserve the confidentiality of our trade secrets, and operate without infringing, misappropriating, or violating the valid and enforceable patents and proprietary rights of third parties. Our ability to stop third parties from making, using, selling, offering to sell, or importing products identical or similar to ours may depend on the extent to which we have rights under valid and enforceable patents that cover these activities.</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are generally uncertain and can involve complex legal, scientific, and factual issues. We cannot predict whether the patent applications we are currently pursuing will issue as patents in any particular jurisdiction or whether the claims of any issued patents will provide sufficient proprietary protection from competitors. We also cannot ensure that patents will issue with respect to any patent applications that we or our licensors may file in the future, nor can we ensure that any of our owned or licensed patents or future patents will be commercially useful in protecting our product candidates and methods of manufacturing. In addition, the coverage claimed in a patent application may be significantly reduced before a patent is issued, and its scope can be reinterpreted and even challenged after issuance. As a result, we cannot guarantee that any of our products will be protected or remain protectable by valid and enforceable patents. Moreover, any of our patents may be challenged, circumvented, or invalidated by third parties.</w:t>
      </w:r>
    </w:p>
    <w:p>
      <w:pPr>
        <w:spacing w:after="0" w:line="19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Prosecution is a lengthy process, during which the scope of the claims initially submitted for examination by the U.S. Patent and Trademark Office (“USPTO”) may be significantly narrowed before issuance, if issued at all. We expect this may be the case with respect to some of our pending patent applications referred to below.</w:t>
      </w:r>
    </w:p>
    <w:p>
      <w:pPr>
        <w:spacing w:after="0" w:line="176"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With respect to bempikibart, as of December 31, 2025, we exclusively licensed from BMS one patent family relating to antibodies against the IL-7R alpha subunit and uses thereof comprising two issued U.S. patents, two issued patents in Japan, one issued patent in each of Australia, China (with extension to Macao), Chile, Indonesia, Malaysia, Russia, Saudi Arabia, Singapore, South Africa, South Korea and Taiwan, one pending U.S. patent application, and 23 pending patent applications in Argentina, Australia, Brazil, Canada, China, Europe, Hong Kong, India, Israel, Japan, South Korea, Mexico, New Zealand, Peru, Philippines, Singapore, Thailand, United Arab Emirates, Qatar, Bahrain, Egypt, Kuwait, and Oman. The issued patents are expected to expire in January 2040 and any patents that issue from these pending patent applications are expected to expire in 2040, without accounting for potentially available patent term adjustments or extensions in the U.S. or abroad.</w:t>
      </w:r>
    </w:p>
    <w:p>
      <w:pPr>
        <w:spacing w:after="0" w:line="189"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We also own one international PCT patent application relating to the use of bempikibart for the treatment of hair-loss disorders such as AA, and another international PCT patent application relating to the use of bempikibart for the treatment of AD, both beginning to enter national stage in the United States, Europe, Japan, Brazil, China, India, Russia (via Eurasia Patent Office), Australia, Canada, Israel, South Korea, Mexico, New Zealand, Philippines, Singapore, and South Africa. Any patents that issue from patent applications derived from or claiming priority to these pending PCT applications are expected to expire in 2044, without accounting for potentially available patent term adjustments or extensions in the U.S. or abroad.</w:t>
      </w:r>
    </w:p>
    <w:p>
      <w:pPr>
        <w:spacing w:after="0" w:line="183"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also own one international PCT patent application relating to the use of bempikibart for the treatment of certain difficult to treat hair-loss disorders, such as severe or very severe AA, or patients having had AA for a long duration; and another international PCT patent application relating to the use of bempikibart for the treatment of certain T-cell mediated inflammatory and/or autoimmune diseases. Any patents that issue from patent applications derived from or claiming priority to these pending PCT applications are expected to expire in 2046, without accounting for potentially available patent term adjustments or extensions in the U.S. or abroad.</w:t>
      </w:r>
    </w:p>
    <w:p>
      <w:pPr>
        <w:spacing w:after="0" w:line="183"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Under the Asset Purchase Agreement entered into with Akebia Therapeutics, Inc., we retain rights under certain patents and applications solely to research, develop, manufacture, commercialize, and otherwise exploit any ADX-096 molecule or product, including, as of December 31, 2025, one patent family relating to ADX-096 and the underlying anti-C3d antibodies. This family includes two relevant issued U.S. patents, one pending U.S. patent application, one issued patent in each of Australia, Canada, South Korea, Malaysia, Russia and Japan, two pending Japanese patent applications, and 19 other pending applications in Australia, China, Europe, Hong Kong, India, Indonesia, Israel, South Korea, Mexico, New Zealand, Philippines, Saudi Arabia, Singapore, South Africa, United Arab Emirates, Qatar, Bahrain, Kuwait, and Oman. The issued patent that covers ADX-096, and any patents that issue from these pending patent applications are expected to expire in December 2039, without accounting for potentially available patent term adjustments or extensions in the U.S. or abroad.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5" w:name="page16"/>
    <w:bookmarkEnd w:id="15"/>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As of December 31, 2025, our retained rights also include a pending international Patent Cooperation Treaty, or PCT, patent application that covers the use of ADX-096 for targeted treatment of complement-media disease through local complement inhibition based on detection of a urinary biomarker. Any patents that issue from patent applications derived from or claiming priority to this PCT application are expected to expire in 2044, without accounting for potentially available patent term adjustments or extensions in the U.S. or abroad.</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While we believe that the specific and generic claims contained in our patents provide protection for the claimed compounds, pharmaceutical compositions and methods of use, third parties may nevertheless challenge such claims. If any such claims are invalidated or rendered unenforceable for any reason, we could lose valuable intellectual property rights and our ability to prevent others from competing with our products and technology would be impaired.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pursue patent protection, the patent term is 20 years from the earliest date of filing a non-provisional patent application. In the United States, the term of a patent covering an FDA-approved drug may, in certain cases, be eligible for a patent term extension under the Hatch-Waxman Act as compensation for the loss of patent term during the FDA regulatory review process. The period of extension may be up to five years, but the remaining term of a patent cannot be extended beyond a total of 14 years from the date of product approval. Only one patent among those eligible for an extension and only those claims covering the approved drug, a method for using it, or a method for manufacturing it may be extended. Similar provisions are available in Europe and in certain other jurisdictions to extend the term of a patent that covers an approved drug. We intend to seek patent term extension for patents covering our products if available.</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to patent protection, we may also rely, in some circumstances, on trade secrets to protect our technology. To that end, we also enter into confidentiality agreements with those who have access to our confidential information, including our employees, contractors, consultants, collaborators and advisors. We also enter into agreements requiring assignment of inventions with selected consultants, scientific advisors, and collaborators. However, trade secrets are difficult to protect. These agreements may not provide meaningful protection and may be breached without an adequate remedy for any such breach. In addition, our trade secrets and/or confidential information and know-how may become known or be independently developed by a third party, or misused by any collaborator to whom we disclose such information. Despite any measures taken to protect our intellectual property, unauthorized parties may attempt to copy aspects of our products or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w:t>
      </w:r>
    </w:p>
    <w:p>
      <w:pPr>
        <w:spacing w:after="0" w:line="188"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success will also depend in part on not infringing upon the proprietary rights of third parties. It is uncertain whether the issuance of any third-party patent would require us to alter our strategies, obtain licenses, or cease certain activities. Our breach of any license agreements or failure to obtain a license to proprietary rights that we need may have an adverse impact on our business.</w:t>
      </w:r>
    </w:p>
    <w:p>
      <w:pPr>
        <w:spacing w:after="0" w:line="17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For more information and comprehensive risks related to our proprietary technology, inventions, improvements and product candidates, see the section titled “Risk Factors—Risks Relating to Our Intellectual Property” in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are currently conducting and in the future may conduct studies or seek approval or licensure of our product candidates.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our business.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U.S. Biologics Regulation</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biological products are subject to regulation under the Federal Food, Drug, and Cosmetic Act (the “FDCA”) and the Public Health Service Act (the “PHSA”) and their implementing regulations, as well as other federal, state, local, and foreign statutes and regulations. The process required by the FDA before biologic product candidates may be marketed in the United States generally involves the following:</w:t>
      </w:r>
    </w:p>
    <w:p>
      <w:pPr>
        <w:spacing w:after="0" w:line="68" w:lineRule="exact"/>
        <w:rPr>
          <w:sz w:val="20"/>
          <w:szCs w:val="20"/>
          <w:color w:val="auto"/>
        </w:rPr>
      </w:pPr>
    </w:p>
    <w:p>
      <w:pPr>
        <w:ind w:left="1020" w:right="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performed in accordance with applicable regulations, including the FDA’s Good Laboratory Practices (“GLP”);</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(“IND”) which must become effective before clinical trials may begin and must be updated annually or when significant changes are made;</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independent ethics committee at each clinical site before the trial may commence;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of the proposed biologic candidate in accordance with current Good Manufacturing Practices (“cGMPs”);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IND regulations, Good Clinical Practice (“GCP”) requirements and other clinical-trial related regulations to establish the safety, purity and potency of the proposed biologic product candidate for its intended purpose;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biologics license application (“BLA”) after completion of all pivotal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 and potential audit of selected clinical investigation sites to assess compliance with GCPs and cGMPs;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BLA, unless a waiver is applicable;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 BLA to permit commercial marketing of the product for a particular indication(s) for use in the United States.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and Clinical Development</w:t>
      </w:r>
    </w:p>
    <w:p>
      <w:pPr>
        <w:spacing w:after="0" w:line="119"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7"/>
          <w:szCs w:val="17"/>
          <w:color w:val="auto"/>
        </w:rPr>
        <w:t>Prior to beginning the first clinical trial with a product candidate, a sponsor must submit an IND to the FDA. An IND is a request for authorization from the FDA to administer an investigational new drug product to humans. The central focus of an IND submission is on the general investigational plan and the protocol or protocols for preclinical studies and clinical trials.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the requirement that all research participants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w:t>
      </w:r>
    </w:p>
    <w:p>
      <w:pPr>
        <w:spacing w:after="0" w:line="18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Regulatory authorities, the IRB or the sponsor may suspend a clinical trial at any time on various grounds, including a finding that the subjects are being exposed to an unacceptable health risk or that the trial is unlikely to meet its stated objectives.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7" w:name="page18"/>
    <w:bookmarkEnd w:id="17"/>
    <w:p>
      <w:pPr>
        <w:ind w:right="20"/>
        <w:spacing w:after="0" w:line="256" w:lineRule="auto"/>
        <w:rPr>
          <w:sz w:val="20"/>
          <w:szCs w:val="20"/>
          <w:color w:val="auto"/>
        </w:rPr>
      </w:pPr>
      <w:r>
        <w:rPr>
          <w:rFonts w:ascii="Times New Roman" w:cs="Times New Roman" w:eastAsia="Times New Roman" w:hAnsi="Times New Roman"/>
          <w:sz w:val="18"/>
          <w:szCs w:val="18"/>
          <w:color w:val="auto"/>
        </w:rPr>
        <w:t>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recommend halting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 Sponsors of clinical trials of FDA-regulated products, including biological products, are required to register and disclose certain clinical trial information, which is publicly available at www.clinicaltrials.gov.</w:t>
      </w:r>
    </w:p>
    <w:p>
      <w:pPr>
        <w:spacing w:after="0" w:line="18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 overlap.</w:t>
      </w:r>
    </w:p>
    <w:p>
      <w:pPr>
        <w:spacing w:after="0" w:line="22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Phase 1. 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Phase 2.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6"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safety, purity and potency of the final product. Additionally, appropriate packaging must be selected and tested and long-term stability studies must be conducted to demonstrate that the product candidate does not undergo unacceptable deterioration over its shelf life.</w:t>
      </w:r>
    </w:p>
    <w:p>
      <w:pPr>
        <w:spacing w:after="0" w:line="18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study investigators. Written IND safety reports must be promptly submitted to the FDA and the investigators for serious and unexpected suspected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 Submission and Review</w:t>
      </w:r>
    </w:p>
    <w:p>
      <w:pPr>
        <w:spacing w:after="0" w:line="119"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preclinical studies and clinical trials are submitted to the FDA as part of a BLA requesting approval to market the product for one or more indications. FDA approval of a BLA must be obtained before a biologic may be marketed in the United States.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the product, or from a number of alternative sources,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right="380"/>
        <w:spacing w:after="0" w:line="282" w:lineRule="auto"/>
        <w:rPr>
          <w:sz w:val="20"/>
          <w:szCs w:val="20"/>
          <w:color w:val="auto"/>
        </w:rPr>
      </w:pPr>
      <w:r>
        <w:rPr>
          <w:rFonts w:ascii="Times New Roman" w:cs="Times New Roman" w:eastAsia="Times New Roman" w:hAnsi="Times New Roman"/>
          <w:sz w:val="18"/>
          <w:szCs w:val="18"/>
          <w:color w:val="auto"/>
        </w:rPr>
        <w:t>including studies initiated and sponsored by investigators. The submission of a BLA requires payment of a substantial application user fee to the FDA, unless a waiver or exemption applies.</w:t>
      </w:r>
    </w:p>
    <w:p>
      <w:pPr>
        <w:spacing w:after="0" w:line="16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under the Pediatric Research Equity Act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biological product that includes a new active ingredient, new indication, new dosage form, new dosing regimen or new route of administration submit an initial pediatric study plan (“PSP”) within sixty days after an end-of-Phase 2 meeting or, if there is no such meeting, as early as practicable before the initiation of the Phase 3 or Phase 2/3 study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 Unless otherwise required by regulation, PREA does not apply to any biological product for an indication for which orphan designation has been granted.</w:t>
      </w:r>
    </w:p>
    <w:p>
      <w:pPr>
        <w:spacing w:after="0" w:line="19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the BLA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Once a BLA has been accepted for filing, the FDA’s goal is to review standard applications within ten months after the filing date, or, if the application qualifies for priority review, six months after the FDA accepts the application for filing. In both standard and priority reviews, the review process may also be extended by FDA requests for additional information or clarification. The FDA reviews a BLA to determine, among other things, whether a product is safe, pure and potent and the facilities in which it is manufactured, processed, packed or stored meet standards designed to assure the product’s continued safety, purity and potency. The FDA may convene an advisory committee to provide clinical insight on application review questions. The FDA is not bound by the recommendations of an advisory committee, but it considers such recommendations carefully when making decisions.</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typically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After the FDA evaluates a BLA and conducts inspections of manufacturing facilities where the investigational product and/or its drug substance will be produced, the FDA may issue an approval letter or a complete response letter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If a Complete Response Letter is issued, the applicant may either resubmit the BLA, addressing all of the deficiencies identified in the letter, or withdraw the application or request an opportunity for a hearing. The FDA may delay or refuse approval of a BLA if applicable regulatory criteria are not satisfied, require additional testing or information and/or require post-marketing testing and surveillance to monitor safety or efficacy of a product.</w:t>
      </w:r>
    </w:p>
    <w:p>
      <w:pPr>
        <w:spacing w:after="0" w:line="19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ind w:right="20"/>
        <w:spacing w:after="0" w:line="261" w:lineRule="auto"/>
        <w:rPr>
          <w:sz w:val="20"/>
          <w:szCs w:val="20"/>
          <w:color w:val="auto"/>
        </w:rPr>
      </w:pPr>
      <w:r>
        <w:rPr>
          <w:rFonts w:ascii="Times New Roman" w:cs="Times New Roman" w:eastAsia="Times New Roman" w:hAnsi="Times New Roman"/>
          <w:sz w:val="18"/>
          <w:szCs w:val="18"/>
          <w:color w:val="auto"/>
        </w:rPr>
        <w:t>condition approval on, among other things, changes to proposed labeling or the development of adequate controls and specifications. Once approved, the FDA may withdraw the product approval if compliance with pre-and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 The fast track designation is intended to expedite or facilitate the process for development and review of new products that meet certain criteria. Specifically, new product candidates are eligible for fast track designation if they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review team during product development and, once a BLA is submitted, the product candidate may be eligible for priority review. A fast track product candidate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87"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Any marketing application for a biologic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 product candidate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 (as compared to ten months under standard review).</w:t>
      </w:r>
    </w:p>
    <w:p>
      <w:pPr>
        <w:spacing w:after="0" w:line="183"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Additionally, product candidates studied for their safety and effectiveness in treating serious or life-threatening diseases or conditions may receive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with due diligence to verify and describe the anticipated effect on irreversible morbidity or mortality or other clinical benefit. Under the Food and Drug Omnibus Reform Act of 2022 (“FDORA”) the FDA may require, as appropriate, that such studies be underway prior to approval or within a specific time period after the date of approval for a product granted accelerated approval. Under FDORA, the FDA has increased authority for expedited procedures to withdraw approval of a product or indication approved under accelerated approval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9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Fast track designation, breakthrough therapy designation and priority review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19"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Under the Orphan Drug Act of 1983, the FDA may grant orphan drug designation to a product candidate intended to treat a rare disease or condition, which is generally a disease or condition that affects fewer than 200,000 individuals in the United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 w:name="page21"/>
    <w:bookmarkEnd w:id="20"/>
    <w:p>
      <w:pPr>
        <w:spacing w:after="0" w:line="258" w:lineRule="auto"/>
        <w:rPr>
          <w:sz w:val="20"/>
          <w:szCs w:val="20"/>
          <w:color w:val="auto"/>
        </w:rPr>
      </w:pPr>
      <w:r>
        <w:rPr>
          <w:rFonts w:ascii="Times New Roman" w:cs="Times New Roman" w:eastAsia="Times New Roman" w:hAnsi="Times New Roman"/>
          <w:sz w:val="18"/>
          <w:szCs w:val="18"/>
          <w:color w:val="auto"/>
        </w:rPr>
        <w:t>States, or 200,000 or more individuals in the United States for which there is no reasonable expectation that the cost of developing and making available in the United States a drug or biologic for this type of disease or condition will be recovered from sales in the United States for that product candidate. Orphan drug designation must be requested before submitting a BLA. After the FDA grants orphan drug designation, the identity of the therapeutic agent and its potential orphan use are disclosed publicly by the FDA. The orphan drug designation does not convey any advantage in, or shorten the duration of, the regulatory review or approval process.</w:t>
      </w:r>
    </w:p>
    <w:p>
      <w:pPr>
        <w:spacing w:after="0" w:line="183"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disease or condition for which it has such designation, the product is entitled to orphan drug exclusive approval (or exclusivity), which means that the FDA may not approve any other applications, including a full BLA, to market the same product for the same approved use or indication for seven years, except in limited circumstances, such as a showing of clinical superiority to the product with orphan drug exclusivity by means of greater effectiveness, greater safety or providing a major contribution to patient care or if the holder of the orphan drug exclusivity cannot assure the availability of sufficient quantities of the orphan drug to meet the needs of patients with the disease or condition for which the product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9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drug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As part of the manufacturing process, the manufacturer is required to perform certain tests on each lot of the product before it is released for distribution. After a BLA is approved for a biological product, the product also may be subject to official lot release. If the product is subject to official release by the FDA, the manufacturer submits batch data from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biologics.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w:t>
      </w:r>
    </w:p>
    <w:p>
      <w:pPr>
        <w:spacing w:after="0" w:line="19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a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studies;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existing product approvals;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of the FDA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Such products can only be promoted in a manner that is consistent with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the sponsor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Biosimilars and Reference Product Exclusivity</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(collectively, the “ACA”) includes a subtitle called the Biologics Price Competition and Innovation Act of 2009 (“BPCIA”), which created an abbreviated approval pathway for biological products that are highly similar, or “biosimilar,” to or interchangeable with an FDA-approved reference biological product. The FDA has issued several guidance documents outlining an approach to review and approval of biosimilars.</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is generally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FDA-approved interchangeable biosimilars may be substituted for the reference product without the intervention of the prescribing health care provider, subject to state pharmacy laws, which differ by state. The BPCIA is complex and continues to be interpreted and implemented by the FDA.</w:t>
      </w:r>
    </w:p>
    <w:p>
      <w:pPr>
        <w:spacing w:after="0" w:line="19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periods for all formulations, dosage forms, and indications of the biologic. This six-month exclusivity, which runs from the end of other exclusivity protection, may be granted based on the voluntary completion of a pediatric study in accordance with an FDA-issued “Written Request” for such a study, provided that at the time pediatric exclusivity is granted there is not less than nine months of term remaining.</w:t>
      </w:r>
    </w:p>
    <w:p>
      <w:pPr>
        <w:spacing w:after="0" w:line="18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discussed below, the Inflation Reduction Act of 2022 (“IRA”) is a significant new law that intends to foster generic and biosimilar competition and to lower drug and biologic costs.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Other Healthcare Laws and Compliance Requirements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(“AKS”); the federal False Claims Act (“FCA”); the Health Insurance Portability and Accountability Act of 1996 (“HIPAA”), and similar foreign, federal and state fraud, abuse and transparency laws.</w:t>
      </w:r>
    </w:p>
    <w:p>
      <w:pPr>
        <w:spacing w:after="0" w:line="180"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The AKS prohibits, among other things, persons and entities from knowingly and willfully soliciting, receiving, offering or paying remuneration, to induce, or in return for, either the referral of an individual, or the purchase, lease, order, arrangement, or recommendation of an item or service for which payment may be made under any federal healthcare program. The term remuneration has been interpreted broadly to include anything of value. The AKS has been interpreted to apply to arrangements between pharmaceutical manufacturers on one hand, and prescribers and purchasers on the other. The government often takes the position that to violate the AKS, only one purpose of the remuneration need be to induce referrals, even if there are other legitimate purposes for the remuneration. A person or entity does not need to have actual knowledge of the federal Anti-Kickback Statute or specific intent to violate it to have committed a violation. There are a number of statutory exceptions and regulatory safe harbors protecting some common activities from AKS prosecution, but they are drawn narrowly and practices that involve remuneration, such as consulting agreements, that may be alleged to be intended to induce prescribing, purchasing or recommending may be subject to scrutiny if they do not qualify for an exception or safe harbor. Our practices may not in all cases meet all of the criteria for protection under a statutory exception or regulatory safe harbor. Failure to meet all of the requirements of a particular applicable statutory exception or regulatory safe harbor does not make the conduct per se illegal under the AKS. Instead, the legality of the arrangement will be evaluated on a case-by-case basis based on a cumulative review of all of its facts and circumstances.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monetary penalties.</w:t>
      </w:r>
    </w:p>
    <w:p>
      <w:pPr>
        <w:spacing w:after="0" w:line="19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Civil and criminal false claims laws, including the FCA, and civil monetary penalty laws, which impose criminal and civil penalties and can be enforced through civil whistleblower or qui tam actions, prohibit, among other things, individuals or entities from knowingly presenting, or causing to be presented, claims for payment of federal government funds, including in federal healthcare programs,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Pharmaceutical and other healthcare companies have been prosecuted under these laws for engaging in a variety of different types of conduct that “caused” the submission of false claims to federal healthcare programs. Under the AKS, for example, a claim resulting from a violation of the AKS is deemed to be a false or fraudulent claim for purposes of the FCA.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192"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HIPAA created additional federal criminal statutes that prohibit, among other things, executing a scheme to defraud any healthcare benefit program, including private third-party payors, and knowingly and willfully falsifying, concealing or covering up by any trick or device a material fact or making any materially false statements or representations relating to healthcare matters. Similar to the federal Anti-Kickback Statute, a person or entity does not need to have actual knowledge of the statute or specific intent to violate it in order to have committed a violation.</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3" w:name="page24"/>
    <w:bookmarkEnd w:id="23"/>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U.S. federal Physician Payments Sunshine Act requires certain manufacturers of drugs, devices, biologics and medical supplies for which payment is available under Medicare, Medicaid or the Children’s Health Insurance Program, with specific exceptions, to annually report to the Centers for Medicaid &amp; Medicare Services (“CMS”) information related to payments or other transfers of value made to various healthcare professionals including physicians, certain other licensed health care practitioners, and teaching hospitals, as well as ownership and investment interests held by physicians and their immediate family members.</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are approved, we will also be subject to federal price reporting laws and federal consumer protection and unfair competition laws. Federal price reporting laws require manufacturers to calculate and report complex pricing metrics to government programs, where such reported prices may be used in the calculation of reimbursement and/ or discounts on approved products. Federal consumer protection and unfair competition laws broadly regulate marketplace activities and activities that potentially harm consumers.</w:t>
      </w:r>
    </w:p>
    <w:p>
      <w:pPr>
        <w:spacing w:after="0" w:line="18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Further, we are subject to additional similar U.S. state and foreign law equivalents of each of the above federal laws, which, in some cases, differ from each other in significant ways, and may not have the same effect, thus complicating compliance efforts. If our operations are found to be in violation of any of such laws or any other governmental regulations that apply, it may be subject to penalties, including, without limitation,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its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Privacy and Security</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Numerous state, federal and foreign laws govern the collection, dissemination, use, access to, confidentiality and security of personal information, including health-related information. As our operations and business grow, we may become subject to or affected by U.S. federal and state laws and regulations, including HIPAA and its implementing regulations, as amended, that govern the collection, use, disclosure, and protection of health-related and other personal information. At the federal level, in addition to HIPAA, failing to take appropriate steps to keep consumers’ personal information secure may constitute unfair acts or practices in or affecting commerce in violation of Section 5(a) of the Federal Trade Commission (“FTC”)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Regulators and legislators in the U.S. are also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7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In addition, numerous U.S. states have introduced comprehensive privacy laws which govern the privacy and security of personal information. For example, in California the California Consumer Protection Act (“CCPA”), as amended by the California Privacy Rights Act (“CPRA”) established a comprehensive privacy framework for covered businesses by creating an expanded definition of personal information, establishing data privacy rights for consumers in the State of California, imposing special rules on the collection of consumer data from minors, and creating a statutory damages framework for violations of the CCPA and for businesses that fail to implement reasonable security procedures and practices to prevent data breaches. While clinical trial data and information governed by HIPAA are currently exempt from the current version of the CCPA, other personal information may be applicable and possible changes to the CCPA may broaden its scope. In addition, the CPRA imposed additional obligations on companies covered by the CCPA, including by expanding consumers’ rights with respect to certain sensitive personal information and by establishing the California Privacy Protection Agency to enforce the CCPA.</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Other states have passed similar privacy legislation and more states may do so in the future. Such legislation adds additional complexity, variation in requirements, restrictions and potential legal risk, require additional investment of resources in compliance programs. These laws may impact our strategies and the availability of previously useful data and could result in increased compliance costs and/or changes in business practices and policies. The existence of comprehensive privacy laws in different states in the country make our compliance obligations more complex and costly and may increase the likelihood that we may be subject to enforcement actions or otherwise incur liability for noncompliance. There are also states that are specifically regulating consumer health information. For example, Washington’s My Health My Data Act regulates the collection and sharing of health information and has a private right of action, which further increases the relevant compliance risk. Connecticut and Nevada have also passed similar laws regulating consumer health data. In addition, other states have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20"/>
        <w:spacing w:after="0" w:line="258" w:lineRule="auto"/>
        <w:rPr>
          <w:sz w:val="20"/>
          <w:szCs w:val="20"/>
          <w:color w:val="auto"/>
        </w:rPr>
      </w:pPr>
      <w:r>
        <w:rPr>
          <w:rFonts w:ascii="Times New Roman" w:cs="Times New Roman" w:eastAsia="Times New Roman" w:hAnsi="Times New Roman"/>
          <w:sz w:val="18"/>
          <w:szCs w:val="18"/>
          <w:color w:val="auto"/>
        </w:rPr>
        <w:t>proposed and/or passed legislation that regulates the privacy and/or security of certain specific types of information. For example, a small number of states, including Illinois and Texas,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have been discussions in the U.S. Congress of new comprehensive federal data privacy laws to which we could become subject to, if enacted.</w:t>
      </w:r>
    </w:p>
    <w:p>
      <w:pPr>
        <w:spacing w:after="0" w:line="75"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Non-U.S. laws, including for example the European data protection laws, also govern the privacy and security of health information in some circumstances, many of which differ from each other in significant ways and often are not preempted by HIPAA, thus complicating compliance efforts. The collection, use, storage, disclosure, transfer, or other processing of personal information regarding individuals in the EEA and UK, including personal health data, is subject to the EU General Data Protection Regulation (“EU GDPR”) with respect to the EEA and the UK General Data Protection Regulation and UK Data Protection Act 2018 with respect to the UK (“UK GDPR”) and collectively with the EU GDPR referred to as the “GDPR” in this document unless specified otherwise. The GDPR is wide-ranging in scope and imposes numerous requirements on companies that process personal information, including requirements relating to processing of special categories of personal information (such as health data), relying on a legal basis or condition for processing personal information, where required obtaining consent of the individuals to whom the personal information relates, providing information to individuals regarding data processing activities, conducting privacy impact assessments for “high risk” processing, implementing safeguards to protect the security and confidentiality of personal information, implementing limitations on the retention of personal information, providing mandatory notification of data breaches, and taking certain measures when engaging third-party processors. The GDPR also imposes strict rules on the transfer of personal information to countries outside the EEA and UK to non-adequate territories, including the United States in certain circumstances unless derogation exists or a valid GDPR transfer mechanism (for example, the European Commission approved Standard Contractual Clauses (“SCCs”) and the UK International Data Transfer Agreement/Addendum (“UK IDTA”)) have been put in place. Where relying on the SCCs /UK IDTA for data transfers, we may also be required to carry out transfer impact assessments to assess whether the recipient is subject to local laws which allow public authority access to personal information. Failure to comply with the GDPR, and any supplemental EEA Member State or UK national data protection laws which may apply by virtue of the location of the individuals whose personal information we collect, may result in substantial penalties, including potential fines of up to €20 million (£17.5 million for the UK GDPR) or 4% of annual global revenues for the preceding financial year, whichever is greater. The GDPR also confers a private right of action on data subjects and consumer associations to lodge complaints with supervisory authorities, seek judicial remedies, and obtain compensation for damages resulting from violations of the GDPR. The GDPR increases our responsibility and liability in relation to personal information that we process where such processing is subject to the GDPR, and requires us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9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Failure, or perceived failure, to comply with these laws, where applicable, can result in damage to our reputation, as well as proceedings or litigation by governmental agencies or other third parties as well as the imposition of significant civil and/or criminal penalties and private class action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Any of the foregoing could have a material adverse effect on our business, financial condition, results of operations and prospects.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it to establish or maintain pricing sufficient to realize a sufficient return on its investment. Government authorities and third-party payors, such as private health insurers and health maintenance organizations, decide which medications they will pay for and establish reimbursement levels.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5" w:name="page26"/>
    <w:bookmarkEnd w:id="25"/>
    <w:p>
      <w:pPr>
        <w:ind w:firstLine="509"/>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pharmaceutical or biological product for which we obtain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our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it to provide scientific and clinical support for the use of our product candidates to each payor separately, with no assurance that coverage and adequate reimbursement will be applied consistently or obtained in the first instance. Factors payors consider in determining reimbursement are based on whether the product is:</w:t>
      </w:r>
    </w:p>
    <w:p>
      <w:pPr>
        <w:spacing w:after="0" w:line="86"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spacing w:after="0" w:line="183"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it commercializes and, if reimbursement is available, the level of reimbursement. In addition, many pharmaceutical manufacturers must calculate and report certain price reporting metrics to the government, such as average sales price (“ASP”) and best price. Penalties may apply in some cases when such metrics are not submitted accurately and timely. Further, these prices for drugs may be reduced by mandatory discounts or rebates required by government healthcare programs.</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Finally, in some foreign countries, the proposed pricing for a drug must be approved before it may be lawfully marketed. The requirements governing drug pricing vary widely from country to country. For example, the European Union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U.S. and generally prices tend to be significantly lower.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ACA, which was enacted in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Since its enactment, there have been judicial and Congressional challenges to certain aspects of the ACA, and we expect there will be additional challenges and amendments to the ACA in the future.</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For example, the American Rescue Plan Act of 2021 eliminated the statutory Medicaid drug rebate cap, previously set at 100% of a drug’s average manufacturer price, for single source and innovator multiple source drugs, effective January 1, 2024. The Budget Control Act of 2011 and subsequent legislation, among other things, created measures for spending reductions that include aggregate reductions of Medicare payments to providers of 2% per fiscal year, which remain in effect through 2031. Also, the U.S. American Taxpayer Relief Act of 2012 further reduced Medicare payments to several types of providers and increased the statute of limitations period for the government to recover overpayments to providers from three to five years. Due to the Statutory Pay-As-You-Go Act of 2010, estimated budget deficit increases resulting from the American Rescue Plan Act of 2021, and subsequent legislation, Medicare payments to providers were further reduced starting on January 1, 2025. These laws and regulations may result in additional reductions in Medicare and other healthcare funding available for healthcare providers and may otherwise affect the price we can obtain for any of our product candidates for which we may obtain regulatory approval or the frequency with which any such product candidate is prescribed or used.</w:t>
      </w:r>
    </w:p>
    <w:p>
      <w:pPr>
        <w:spacing w:after="0" w:line="19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Under the One Big Beautiful Bill Act of 2025 ("OBBBA"), this restriction was eliminated; and effective for the 2028 initial price applicability year, all orphan drugs, regardless of the number of orphan drug designations or indications, are exempt from the Medicare drug price negotiation program. The implementation of the IRA is currently subject to ongoing litigation that challenges the constitutionality of the IRA’s Medicare drug price negotiation program. Although the effects of the IRA on our business and the healthcare industry in general are not yet known, we are taking into consideration the potential impact of the IRA on our development and commercialization activities.</w:t>
      </w:r>
    </w:p>
    <w:p>
      <w:pPr>
        <w:spacing w:after="0" w:line="19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and proposed and enacted federal and state measures designed to, among other things, reduce the cost of prescription drugs, bring more transparency to product pricing, review the relationship between pricing and manufacturer patient programs, and reform government program reimbursement methodologies for drug products.</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Further, the U.S. government, state legislatures and foreign governments have continued implementing cost-containment programs, including price controls, restrictions on coverage and reimbursement and requirements for substitution of generic products. The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rare disease designation and for which the only approved indication is for that disease or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27" w:name="page28"/>
    <w:bookmarkEnd w:id="27"/>
    <w:p>
      <w:pPr>
        <w:ind w:right="180"/>
        <w:spacing w:after="0" w:line="266" w:lineRule="auto"/>
        <w:rPr>
          <w:sz w:val="20"/>
          <w:szCs w:val="20"/>
          <w:color w:val="auto"/>
        </w:rPr>
      </w:pPr>
      <w:r>
        <w:rPr>
          <w:rFonts w:ascii="Times New Roman" w:cs="Times New Roman" w:eastAsia="Times New Roman" w:hAnsi="Times New Roman"/>
          <w:sz w:val="18"/>
          <w:szCs w:val="18"/>
          <w:color w:val="auto"/>
        </w:rPr>
        <w:t>condition. If a product receives multiple rare disease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is not yet known.</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President Trump has also issued multiple executive orders that have sought to reduce prescription drug costs. Although a number of these and other proposed measures may require authorization through additional legislation to become effective, and the Trump administration may reverse or otherwise change these measures, both the Trump administration and Congress have indicated that they will continue to seek new legislative measures to control drug costs.</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(“MFN”)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MFN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under the first Trump Administration was subject to an injunction resulting from judicial challenges to the rule, which was formally rescinded by the former Biden Administration in August 2021.</w:t>
      </w:r>
    </w:p>
    <w:p>
      <w:pPr>
        <w:spacing w:after="0" w:line="19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w:t>
      </w:r>
    </w:p>
    <w:p>
      <w:pPr>
        <w:spacing w:after="0" w:line="194"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Notwithstanding the IRA and President Trump’s executive orders, continued legislative and enforcement interest exists in the United States with respect to specialty drug pricing practices. Specifically, we expect regulators to continue pushing for transparency to drug pricing, reducing the cost of prescription drugs under Medicare, reviewing the relationship between pricing and manufacturer patient programs, and reforming government program reimbursement methodologies for drugs.</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its drugs or put pressure on its drug pricing, which could negatively affect our business, financial condition, results of operations and prospects.</w:t>
      </w:r>
    </w:p>
    <w:p>
      <w:pPr>
        <w:spacing w:after="0" w:line="18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at the state level, legislatures have increasingly passed legislation and implemented regulations similar to those under consideration at the federal level, as well as laws designed to control pharmaceutical and biotherapeutic product pricing, including restrictions on pricing or reimbursement at the state government level, limitations on discounts to patients,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ind w:right="300"/>
        <w:spacing w:after="0" w:line="258" w:lineRule="auto"/>
        <w:rPr>
          <w:sz w:val="20"/>
          <w:szCs w:val="20"/>
          <w:color w:val="auto"/>
        </w:rPr>
      </w:pPr>
      <w:r>
        <w:rPr>
          <w:rFonts w:ascii="Times New Roman" w:cs="Times New Roman" w:eastAsia="Times New Roman" w:hAnsi="Times New Roman"/>
          <w:sz w:val="18"/>
          <w:szCs w:val="18"/>
          <w:color w:val="auto"/>
        </w:rPr>
        <w:t>marketing cost disclosure and transparency measures, restrictions or other limitations on patient assistance, and, in some cases, policies to encourage importation from other countries (subject to federal approval) and bulk purchasing. Certain states are also pursuing cost containment efforts through Prescription Drug Affordability Boards (“PDABs”) and similar entities. While many PDABs have been granted authority to promote drug price transparency and reporting, some states have granted PDABs more expansive authority, including to set Upper Payment Limits (“UPIs”) on select, high price drugs. The adoption and implementation of UPLs may put downward pressure on drug prices and impact our company’s future revenues.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Outside of the United States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 Drug Development</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regulations in other jurisdictions governing clinical studies, commercial sales, and distribution of our products. Most countries outside of the United States require that clinical trial applications be approved by the local regulatory authority for each clinical study. In the EU, for example, an application must be submitted to the national competent authority and an independent ethics committee in each country in which we intend to conduct clinical trials, much like the FDA and IRB, respectively. Under the new Clinical Trials Regulation (EU) No 536/2014, which replaced the Clinical Trials Directive 2001/20/EC on January 31, 2022, a single application is now made through the Clinical Trials Information System for clinical trial authorization in up to 30 EU/EEA countries at the same time and with a single set of documentation.</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based on a draft assessment report prepared by a Reporting Member State. Part II is assessed separately by each Member State Concerned. The role of the relevant ethics committees in the assessment procedure will continue to be governed by the national law of the Member State Concerned, however overall related timelines are defined by the Clinical Trials Regulation. The new Clinical Trials Regulation also provides for simplified reporting procedures for clinical trial sponsors.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 Drug Review and Approval</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addition, whether or not we obtain FDA approval for a product, we must obtain approval of a product by the comparable regulatory authorities of countries outside the United States before we can commence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To obtain regulatory approval for our medicinal products under the EU regulatory system, a marketing authorization application (“MAA”) needs to be submitted. There are a number of potential routes open to obtain a marketing authorization (“MA”). The centralized procedure allows applicants to obtain a MA that is valid throughout the EU, and the additional Member States of the European Economic Area, such as Iceland, Liechtenstein and Norway (collectively, the “EEA”). It is compulsory for medicinal products manufactured using biotechnological processes, orphan medicinal products, advanced therapy medicinal products (gene-therapy, somatic cell-therapy or tissue-engineered medicines) and human products containing a new active substance which is not authorized in the EU and which is intended for the treatment of HIV, AIDS, cancer, neurodegenerative disorders, auto-immune and other immune dysfunctions, viral diseases or diabetes. The centralized procedure is optional for any other products containing new active substances not authorized in the EU or for products which constitute a significant therapeutic, scientific, or technical innovation or for which a centralized authorization is in the interests of patients at EU level. When a company wishes to place on the market a medicinal product that is eligible for the centralized procedure, it sends an application directly to the European Medicines Agency (“EMA”), to be assessed by the Committee for Medicinal Products for Human Use (“CHMP”). The CHMP is responsible for conducting the assessment of whether a medicine meets the required quality, safety, and efficacy requirements, and whether the product has a positive risk/benefit profile. The procedure results in a European Commission decision, which is valid in all EU Member States. The centralized procedure is as follows: full copies of the MAA are sent to a rapporteur and a co-rapporteur designated by the competent EMA scientific committee. They coordinate the EMA’s scientific assessment of the medicinal product and prepare draft reports. Once the draft reports are prepared (other experts might be called upon for this purpose), they are sent to the CHMP, whose comments or objections are communicated to the applicant. The rapporteur acts as an EMA contact person for the applicant and continues to play this role, even after the MA has been granted.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The rapporteur and co-rapporteur then assess the applicant’s replies, submit them for discussion to the CHMP, and taking into account the conclusions of this debate, prepare a final assessment report. Once the evaluation is completed, the CHMP gives a favorable or unfavorable opinion as to whether to grant the authorization. When the opinion is favorable, it shall include the draft summary of product characteristics (“SmPC”), the package leaflet, and the texts proposed for the various packaging materials. The time limit for the evaluation procedure is 210 days (excluding clock stops, when additional written or oral information is to be provided by the applicant in response to questions asked by the CHMP). The EMA then has fifteen days to forward its opinion to the European Commission, which will make a binding decision on the grant of an MA within 67 days of the receipt of the CHMP opinion.</w:t>
      </w:r>
    </w:p>
    <w:p>
      <w:pPr>
        <w:spacing w:after="0" w:line="18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There are two other procedures in the EU for the grant of an MA in multiple EU Member States. The decentralized procedure provides for approval by one or more concerned Member States, of an assessment of an application performed by one Member State, known as the Reference Member State. Under this procedure, an applicant submits an application, or dossier, and related materials including a draft SmPC, and draft labeling and package leaflet,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cannot approve the assessment report and related materials on the grounds of potential serious risk to the public health, the disputed points may eventually be referred to the European Commission, whose decision is binding on all Member States. Where a product has already been authorized for marketing in a EU Member State, this national MA can be recognized in other Member States through the mutual recognition procedure.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 New Chemical Entity Exclusivity</w:t>
      </w:r>
    </w:p>
    <w:p>
      <w:pPr>
        <w:spacing w:after="0" w:line="11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the EU, innovative medicinal products approved on the basis of a complete and independent data package qualify for eight years of data exclusivity upon marketing authorization and an additional two years of market exclusivity. The data exclusivity, if granted, prevents generic or biosimilar applicants from referencing the innovator’s preclinical and clinical trial data contained in the dossier of the reference product when applying for a generic or biosimilar MA in the EU, during a period of eight years from the date on which the reference product was first authorized in the EU. During the additional two-year period of market exclusivity, a generic or biosimilar MAA can be submitted, and the innovator’s data may be referenced, but no generic or biosimilar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determined to bring a significant clinical benefit in comparison with currently approved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however, another company could nevertheless also market another version of the product if such company obtained an MA based on an MAA with a complete and independent data package of pharmaceutical tests, preclinical tests and clinical trials.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 Orphan Designation and Exclusivity</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Under Article 3 of Regulation (EC) 141/2000, a medicinal product may be designated as an orphan medicinal product if it is intended for the diagnosis, prevention, or treatment of a life-threatening or chronically debilitating condition that affects no more than five in 10,000 persons in the EU when the application is made. In addition, orphan designation can be granted if the product is intended for a life threatening, seriously debilitating, or serious and chronic condition in the EU and, without incentives, it is unlikely that sales of the product in the EU would be sufficient to justify the necessary investment in its development. Orphan designation is only available if there is no other satisfactory method approved in the EU of diagnosing, preventing, or treating the applicable orphan condition, or if such a method exists, the proposed orphan medicinal product will be of significant benefit to patients affected by such condition, as defined in Regulation (EC) 847/2000.</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Orphan designation provides opportunities for fee reductions, protocol assistance, and access to the centralized procedure. Fee reductions are limited to the first year after an MA, except for small and medium enterprises. In addition, if a product which has an orphan designation subsequently receives a centralized MA for the indication for which it has such designation, the product is entitled to orphan market exclusivity, which means the EMA may not approve any other application to market a similar medicinal product for the same indication for a period of ten years. A “similar medicinal product” is defined as a medicinal product containing a similar active substance or substances as contained in an authorized orphan medicinal product, and which is intended for the same therapeutic indication. The exclusivity period may be reduced to six years if, at the end of the fifth year, it is shown that the designation criteria are no longer met, including where it is shown that the product is sufficiently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ind w:right="220"/>
        <w:spacing w:after="0" w:line="282" w:lineRule="auto"/>
        <w:rPr>
          <w:sz w:val="20"/>
          <w:szCs w:val="20"/>
          <w:color w:val="auto"/>
        </w:rPr>
      </w:pPr>
      <w:r>
        <w:rPr>
          <w:rFonts w:ascii="Times New Roman" w:cs="Times New Roman" w:eastAsia="Times New Roman" w:hAnsi="Times New Roman"/>
          <w:sz w:val="18"/>
          <w:szCs w:val="18"/>
          <w:color w:val="auto"/>
        </w:rPr>
        <w:t>profitable not to justify maintenance of market exclusivity. Additionally, an MA may be granted to a similar medicinal product for the same indication at any time if:</w:t>
      </w:r>
    </w:p>
    <w:p>
      <w:pPr>
        <w:spacing w:after="0" w:line="54" w:lineRule="exact"/>
        <w:rPr>
          <w:sz w:val="20"/>
          <w:szCs w:val="20"/>
          <w:color w:val="auto"/>
        </w:rPr>
      </w:pPr>
    </w:p>
    <w:p>
      <w:pPr>
        <w:ind w:left="1020" w:right="1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that its product, although similar to the authorized product, is safer, more effective or otherwise clinically superior;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 holder of the authorized product consents to a second orphan medicinal product application;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 holder of the authorized product cannot supply enough orphan medicinal product.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 Pediatric Investigation Plan</w:t>
      </w:r>
    </w:p>
    <w:p>
      <w:pPr>
        <w:spacing w:after="0" w:line="119" w:lineRule="exact"/>
        <w:rPr>
          <w:sz w:val="20"/>
          <w:szCs w:val="20"/>
          <w:color w:val="auto"/>
        </w:rPr>
      </w:pPr>
    </w:p>
    <w:p>
      <w:pPr>
        <w:ind w:right="140" w:firstLine="509"/>
        <w:spacing w:after="0" w:line="269" w:lineRule="auto"/>
        <w:rPr>
          <w:sz w:val="20"/>
          <w:szCs w:val="20"/>
          <w:color w:val="auto"/>
        </w:rPr>
      </w:pPr>
      <w:r>
        <w:rPr>
          <w:rFonts w:ascii="Times New Roman" w:cs="Times New Roman" w:eastAsia="Times New Roman" w:hAnsi="Times New Roman"/>
          <w:sz w:val="17"/>
          <w:szCs w:val="17"/>
          <w:color w:val="auto"/>
        </w:rPr>
        <w:t>A pediatric investigation plan (“PIP”) in the EU is aimed at ensuring that the necessary data are obtained to support the authorization of a medicine for children, through studies in children. All applications for MAs for new medicines have to include the results of studies as described in an agreed PIP, unless the medicine is exempt because of a deferral or waiver. This requirement also applies when an MA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 Medicines authorized across the EU with the results of studies from a PIP included in the product information are eligible for an extension of their supplementary protection certificate (“SPC”) by six months (provided an application for such extension is made at the same time as filing the SPC application for the product, or at any point up to two years before the SPC expires). This is the case even when the studies’ results are negative. For orphan medicinal products, the incentive is an additional two years of market exclusivity. Scientific advice and protocol assistance at the EMA are free of charge for questions relating to the development of pediatric medicines. Medicines developed specifically for children that are already authorized but are not protected by a patent or supplementary protection certificate are eligible for a pediatric-use MA (“PUMA”). If a PUMA is granted, the product will benefit from ten years of market protection as an incentive.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PRIME Scheme</w:t>
      </w:r>
    </w:p>
    <w:p>
      <w:pPr>
        <w:spacing w:after="0" w:line="119" w:lineRule="exact"/>
        <w:rPr>
          <w:sz w:val="20"/>
          <w:szCs w:val="20"/>
          <w:color w:val="auto"/>
        </w:rPr>
      </w:pPr>
    </w:p>
    <w:p>
      <w:pPr>
        <w:jc w:val="both"/>
        <w:ind w:right="380" w:firstLine="509"/>
        <w:spacing w:after="0" w:line="257" w:lineRule="auto"/>
        <w:rPr>
          <w:sz w:val="20"/>
          <w:szCs w:val="20"/>
          <w:color w:val="auto"/>
        </w:rPr>
      </w:pPr>
      <w:r>
        <w:rPr>
          <w:rFonts w:ascii="Times New Roman" w:cs="Times New Roman" w:eastAsia="Times New Roman" w:hAnsi="Times New Roman"/>
          <w:sz w:val="18"/>
          <w:szCs w:val="18"/>
          <w:color w:val="auto"/>
        </w:rPr>
        <w:t>In March 2016, the EMA launched an initiative, the PRIority Medicines (“PRIME”) scheme, to facilitate development of product candidates in indications, often rare, for which few or no therapies currently exist. The PRIME scheme is intended to encourage development of products in areas of unmet medical need and provides accelerated assessment of products representing substantial innovation reviewed under the centralized procedure.</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Products from small- and medium-sized enterprises may qualify for earlier entry into the PRIME scheme than larger companies on the basis of compelling non-clinical data and tolerability data from initial clinical trials. Many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 Importantly, once a candidate medicine has been selected for the PRIME scheme, a dedicated contact and rapporteur from the CHMP or from the Committee for Advanced Therapies (“CAT”) are appointed early in the PRIME scheme facilitating increased understanding of the product at the EMA’s committee level. An initial meeting with the CHMP/CAT rapporteur initiates these relationships and includes a team of multidisciplinary experts at the EMA to provide guidance on the overall development and regulatory strategies. PRIME eligibility does not change the standards for product approval, and there is no assurance that any such designation or eligibility will result in expedited review or approval.</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aforementioned EU rules are generally applicable in the EEA.</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Reform of the Regulatory Framework in the EU</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European Commission introduced legislative proposals in April 2023, that if implemented, will replace the current regulatory framework in the EU for all medicines (including those for rare diseases and for children). In April 2024, the European Parliament adopted its position on the legislative proposals and, in June 2025, the Council of the European Union adopted its position. A common position on the text has been agreed upon on December 11, 2025, in the context of subsequent inter-institutional trilogue negotiations. The proposed revisions remain to be adopted, and are not expected to become applicable before 2028.</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227" w:lineRule="exact"/>
        <w:rPr>
          <w:sz w:val="20"/>
          <w:szCs w:val="20"/>
          <w:color w:val="auto"/>
        </w:rPr>
      </w:pPr>
    </w:p>
    <w:p>
      <w:pPr>
        <w:ind w:right="1020" w:firstLine="509"/>
        <w:spacing w:after="0" w:line="282" w:lineRule="auto"/>
        <w:rPr>
          <w:sz w:val="20"/>
          <w:szCs w:val="20"/>
          <w:color w:val="auto"/>
        </w:rPr>
      </w:pPr>
      <w:r>
        <w:rPr>
          <w:rFonts w:ascii="Times New Roman" w:cs="Times New Roman" w:eastAsia="Times New Roman" w:hAnsi="Times New Roman"/>
          <w:sz w:val="18"/>
          <w:szCs w:val="18"/>
          <w:color w:val="auto"/>
        </w:rPr>
        <w:t>Now that the United Kingdom (“U.K.”) has left the EU, the U.K. is no longer covered by the EU procedures for the grant of marketing authorizations under the centralized EU procedure and a separate marketing authorization is therefore required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spacing w:after="0" w:line="254" w:lineRule="auto"/>
        <w:rPr>
          <w:sz w:val="20"/>
          <w:szCs w:val="20"/>
          <w:color w:val="auto"/>
        </w:rPr>
      </w:pPr>
      <w:r>
        <w:rPr>
          <w:rFonts w:ascii="Times New Roman" w:cs="Times New Roman" w:eastAsia="Times New Roman" w:hAnsi="Times New Roman"/>
          <w:sz w:val="18"/>
          <w:szCs w:val="18"/>
          <w:color w:val="auto"/>
        </w:rPr>
        <w:t>market drugs in the U.K.. As a result of the Northern Ireland protocol, following Brexit, the EMA remained responsible for approving novel medicines for supply in Northern Ireland under the EU centralized procedure, and a separate authorization was required to supply the same medicine in Great Britain (England, Wales and Scotland). However, on January 1, 2025, a new arrangement called the “Windsor Framework” came into effect and placed medicinal products supplied to Northern Ireland under the regulatory authority of the MHRA. The Windsor Framework removes EU licensing processes and certain EU labeling and serialization requirements for medicines supplied to Northern Ireland and introduces a U.K.-wide licensing process for medicines. A single U.K.-wide marketing authorization will be granted by the MHRA for all novel medicinal products to be sold in the U.K., enabling products to be sold in a single pack and under a single authorization throughout the U.K. In addition, the new arrangements require, for packs placed on the U.K. market on or after January 1, 2025, a “U.K. Only” label, indicating they are not for sale in the EU.</w:t>
      </w:r>
    </w:p>
    <w:p>
      <w:pPr>
        <w:spacing w:after="0" w:line="19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MHRA has introduced changes to national licensing procedures, including procedures to prioritize access to new medicines that will benefit patients, an accelerated assessment procedure and new routes of evaluation for novel products and biotechnological products. All existing EU MAs for centrally authorized products were automatically converted (grandfathered) into United Kingdom MAs free of charge on January 1, 2021. On January 1, 2024, the MHRA put in place a new international recognition framework under which the MHRA may have regard to decisions on the approval of MAs made by the EMA and certain other regulators when determining an application for a new U.K. MA. There is no pre-MA orphan designation in the U.K. Instead, the MHRA reviews applications for orphan designation in parallel to the corresponding MAA. The criteria are essentially the same, but have been tailored for the U.K. market, i.e., the prevalence of the condition in the U.K. rather than the EU must not be more than five in 10,000. Should an orphan designation be granted, the period of market exclusivity will be set from the date of first approval of the product in the U.K.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we had 24 full-time employees, of which 3 have M.D. or Ph.D. degrees. Within our workforce, 13 employees are engaged in research and development and 11 are engaged in general management and administration. None of our employees are represented by labor unions or covered by collective bargaining agreements. We consider our relationship with our employees to be good.</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shareholder value and the success of our company by motivating such individuals to perform to the best of their abilities and achieve our objectives.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principal office is located at 830 Winter Street, Waltham, Massachusetts 02451, where we lease approximately 15,771 square feet of office space. The lease term began in January 2022 and will end in December 2031. We believe that this facility will be adequate to meet our near-term needs. If required, we believe that suitable additional or substitute space will be available in the future on commercially reasonable terms to accommodate any such expansion our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60" w:firstLine="509"/>
        <w:spacing w:after="0" w:line="289" w:lineRule="auto"/>
        <w:rPr>
          <w:sz w:val="20"/>
          <w:szCs w:val="20"/>
          <w:color w:val="auto"/>
        </w:rPr>
      </w:pPr>
      <w:r>
        <w:rPr>
          <w:rFonts w:ascii="Times New Roman" w:cs="Times New Roman" w:eastAsia="Times New Roman" w:hAnsi="Times New Roman"/>
          <w:sz w:val="17"/>
          <w:szCs w:val="17"/>
          <w:color w:val="auto"/>
        </w:rPr>
        <w:t>We were incorporated under the laws of the State of Delaware on April 10, 2017. Our principal executive office is located at 830 Winter Street, Waltham, Massachusetts 02451, and our telephone number is (781) 999-0232. Our website address is www.q32bio.com. References to our website address to not constitute incorporation by reference of the information contained on the website, and the information on the website is not part of this document.</w:t>
      </w:r>
    </w:p>
    <w:p>
      <w:pPr>
        <w:spacing w:after="0" w:line="15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March 25, 2024, Merger Sub, a wholly-owned subsidiary of Homology, completed its merger with and into Q32 Bio Operations Inc. (previously named Q32 Bio Inc. and referred to herein as Legacy Q32), with Legacy Q32 continuing as the surviving entity as a wholly-owned subsidiary of Homology. This transaction is referred to as the Merger. Homology changed its name to Q32 Bio Inc., and Legacy Q32, which remains as a wholly-owned subsidiary of ours, changed its name to Q32 Bio Operations, Inc. The Merger was effected pursuant to the Merger Agreement dated as of November 16, 2023, by and among Homology, Legacy Q32, and Merger Sub. Effective March 26, 2024, our common stock is listed on the Nasdaq Global Market, under the trading symbol “QTTB.”</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100" w:firstLine="576"/>
        <w:spacing w:after="0" w:line="255" w:lineRule="auto"/>
        <w:rPr>
          <w:sz w:val="20"/>
          <w:szCs w:val="20"/>
          <w:color w:val="auto"/>
        </w:rPr>
      </w:pPr>
      <w:r>
        <w:rPr>
          <w:rFonts w:ascii="Times New Roman" w:cs="Times New Roman" w:eastAsia="Times New Roman" w:hAnsi="Times New Roman"/>
          <w:sz w:val="18"/>
          <w:szCs w:val="18"/>
          <w:color w:val="auto"/>
        </w:rPr>
        <w:t xml:space="preserve">We file electronically with the SEC, our annual reports on Form 10-K, quarterly reports on Form 10-Q, current reports on Form 8-K, proxy statements and other information. Our SEC filings are available to the public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We make available on our website at www.q32bio.com, under “Investors &amp; Media,” free of charge, copies of these reports as soon as reasonably practicable after filing or furnishing these reports with the SEC. A copy of our Corporate Governance Guidelines, Code of Business Conduct and Ethics and the charters of the Audit Committee, Compensation Committee, Nominating and Corporate Governance Committee and Research and Development Committee of our Board of Directors are posted on our website, www.q32bio.com, under “Investors &amp; Media”. The information contained in the websites referenced in this Annual Report on Form 10-K is not incorporated by reference into this Annual Report on Form 10-K.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and uncertainties described below, together with all of the other information in this Annual Report on Form 10-K and in our other filings with the Securities and Exchange Commission (the “SEC”). We operate in a dynamic and rapidly changing industry that involves numerous risks and uncertainties. The risks and uncertainties described below are not the only ones we face. Other risks and uncertainties, including those that we do not currently consider material, may impair our business. If any of the risks discussed below actually occur, our business, financial condition, operating results or cash flows could be materially adversely affected. Our actual results could differ materially from those anticipated in these forward-looking statements as a result of certain factors, including the risks we face as described below and elsewhere in this Annual Report on Form 10-K.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Need for Capital</w:t>
      </w:r>
    </w:p>
    <w:p>
      <w:pPr>
        <w:spacing w:after="0" w:line="11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expect to incur significant losses for the foreseeable future and may not be able to achieve or sustain profitability in the future. We have no products for sale, have not generated any product revenue and may never generate product revenue or become profitable.</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Investment in biotechnology product development is a highly speculative undertaking and entails substantial upfront expenditures and significant risks that any program will fail to demonstrate adequate efficacy or an acceptable safety profile, gain regulatory approval and become commercially viable. We have no products approved for commercial sale nor have we generated any revenue from product sales to date and we continue to incur significant research and development and other expenses related to our ongoing operations. We do not expect to generate product revenue unless or until it successfully completes clinical development and obtains regulatory approval of, and then successfully commercializes, at least one product candidate. We may never succeed in these activities and, even if it does, may never generate product revenue or revenues that are significant or large enough to achieve profitability. If we are unable to generate sufficient revenue through the sale of any approved products, it may be unable to continue operations without additional funding.</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incurred recurring operating losses since inception. During the year ended December 31, 2025, we had net income of $29.8 million as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of the collaboration revenue recognized upon the execution of the Amgen Amendment. Our net loss for the year ended December 31, 2024,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$47.7 million. We expect to continue to incur significant losses for the foreseeable future. Our operating expenses and net losses may fluctuate significantly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quarter to quarter and year to year. We anticipate that our expenses will increase substantially if and as we:</w:t>
      </w:r>
    </w:p>
    <w:p>
      <w:pPr>
        <w:spacing w:after="0" w:line="99"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existing and future programs through preclinical and clinical development, including expansion into additional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programs and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establish and maintain additional collaborations and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drug products for which we may obtain marketing approval, either by ourselves or in collaboration with others;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commercial sales of products for which we receive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including research and development, clinical and commercial;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3" w:name="page34"/>
    <w:bookmarkEnd w:id="33"/>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product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in-licenses products, intellectual property and technologies; and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commercial-scale current good manufacturing practices (“cGMP”) capabilities through a third-party or our own manufacturing facility.</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our expenses will increase if, among other things, we are required by the U.S. Food and Drug Administration (the “FDA”), or other regulatory authorities to perform trials or studies in addition to, or different than, those that we currently anticipate, there are any delays in completing our clinical trials or the development of any product candidates, or there are any third-party challenges to our intellectual property or we need to defend against any intellectual property-related claim.</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Even if we obtain marketing approval for, and are successful in commercializing, one or more product candidates, we expect to incur substantial additional research and development and other expenditures to develop and market additional programs and/or to expand the approved indications of any marketed product. We may encounter unforeseen expenses, difficulties, complications, delays and other unknown factors that may adversely affect our business. The size of our future net losses will depend, in part, on the rate of future growth of our expenses and our ability to generate revenue.</w:t>
      </w:r>
    </w:p>
    <w:p>
      <w:pPr>
        <w:spacing w:after="0" w:line="180"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Our failure to become profitable would decrease our value and could impair our ability to raise capital, maintain our research and development efforts, expand our business and/or continue our operations. A decline in our value could also cause you to lose all or part of your investment.</w:t>
      </w:r>
    </w:p>
    <w:p>
      <w:pPr>
        <w:spacing w:after="0" w:line="266" w:lineRule="exact"/>
        <w:rPr>
          <w:sz w:val="20"/>
          <w:szCs w:val="20"/>
          <w:color w:val="auto"/>
        </w:rPr>
      </w:pPr>
    </w:p>
    <w:p>
      <w:pPr>
        <w:ind w:right="3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will require substantial additional capital to finance our operations in the future. If we are unable to raise such capital when needed, or on acceptable terms, we may be forced to delay, reduce or eliminate clinical trials, product development programs or future commercialization efforts.</w:t>
      </w:r>
    </w:p>
    <w:p>
      <w:pPr>
        <w:spacing w:after="0" w:line="2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Developing biotechnology products is a very long, time-consuming, expensive and uncertain process that takes years to complete. Since inception, we have funded our operations primarily through private equity and debt financings and have incurred significant recurring losses. We expect our expenses to increase in connection with our ongoing activities, particularly as we conduct our clinical trials for bempikibart, initiate additional clinical trials, and continue to research, develop and conduct preclinical studies of our other potential product candidates, and continue to operate as a public company. In addition, if we obtain regulatory approval for any product candidate for commercial sale, we anticipate incurring significant commercialization expenses related to product manufacturing, marketing, sales and distribution activities to launch any such product. Our expenses could increase beyond expectations if we are required by the FDA or other regulatory agencies to perform preclinical studies or clinical trials in addition to those that we currently anticipate. Because the design and outcome of our current, planned and anticipated clinical trials are highly uncertain, and many of our near-term plans are subject to regulatory feedback, we cannot reasonably estimate the actual amount of funding that will be necessary to successfully complete the development and commercialization of any product candidate we develop. Our future capital requirements depend on many factors, including factors that are not within our control.</w:t>
      </w:r>
    </w:p>
    <w:p>
      <w:pPr>
        <w:spacing w:after="0" w:line="19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will continue to incur costs associated with operating as a public company. We will require substantial additional funding to continue our operations. Based on our current operating plan, we believe that our existing cash and cash equivalents, combined with gross proceeds from our registered direct offering completed in February 2026 and guaranteed near-term milestone payments from the ADX-097 Asset Sale, should be sufficient to fund our operations into the fourth quarter of 2027. We have based this estimate on assumptions that may prove to be wrong, and we could use our available capital resources sooner than we currently expect. Our future capital requirements will depend on many factors, including:</w:t>
      </w:r>
    </w:p>
    <w:p>
      <w:pPr>
        <w:spacing w:after="0" w:line="75" w:lineRule="exact"/>
        <w:rPr>
          <w:sz w:val="20"/>
          <w:szCs w:val="20"/>
          <w:color w:val="auto"/>
        </w:rPr>
      </w:pPr>
    </w:p>
    <w:p>
      <w:pPr>
        <w:ind w:left="1020" w:right="3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 including our ongoing Phase 2 clinical trial for bempikibart in alopecia areata (“AA”);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 acceptable safety profile with IND-enabling toxicology studies to enable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larger and later-stage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subject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extent of trials required for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4" w:name="page35"/>
    <w:bookmarkEnd w:id="34"/>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subjects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that participate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and discontinuation rate of subjects;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subject participation in the trials and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encounter any serious adverse events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receipt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and post-marketing approval commitments from applicable regulatory authorities;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or maintain collaborations, strategic partnerships, or other strategic arrangements with third parties, if any, and the performance of any such third parties in connection therewith;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retaining research and development personnel;</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arrangements with our contract development and manufacturing organizations (“CDMOs”), and contract research organizations (“CROs”);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clinical and commercial-grade drug formulations that can be used in our planned clinical trials and for commercial launch, respectfully;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the third parties with whom we work;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Adequate additional financing may not be available to us on acceptable terms, or at all, and we may be required to seek additional funds sooner than planned through public equity offerings, debt financings, collaborations and licensing arrangements or other sources. Such financing may dilute our stockholders or the failure to obtain such financing may restrict our operating activities. Any additional fundraising efforts may divert our management from our day-to-day activities, which may adversely affect our business.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 Debt financing or refinancing may result in imposition of debt covenants, increased fixed payment obligations or other restrictions that may affect our business. If we raise additional funds through upfront payments or milestone payments pursuant to future collaborations with third parties, we may have to relinquish valuable rights to product development programs, or grant licenses on terms that are not favorable to us. Our ability to raise additional capital may be adversely impacted by global macroeconomic conditions and volatility in the credit and financial markets in the U.S. and worldwide, over which we may have no or little control. Our failure to raise capital as and when needed or on acceptable terms would have a negative impact on our financial condition and ability to pursue our business strategy, and we may have to delay, reduce the scope of, suspend or eliminate clinical trials, product development programs or future commercialization efforts.</w:t>
      </w:r>
    </w:p>
    <w:p>
      <w:pPr>
        <w:spacing w:after="0" w:line="29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no products approved for commercial sale, which may make it difficult for you to evaluate our current business and likelihood of success and viability.</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with limited operating history. Since our inception in 2017, we have incurred significant operating losses and have utilized substantially all of our resources to conduct research and development activities (including with respect to our bempikibart program) and undertake preclinical studies of product candidates, as well as for conducting clinical trials of our most advanced product candidates and the manufacturing of such product candidates, business planning, developing and maintaining our intellectual property portfolio, hiring personnel, raising capital, and providing general and administrative support for these activities. We have limited significant experience as a company in initiating, conducting or completing clinical trials. In part because of this lack of experience, we cannot be certain that our current and planned clinical trials will begin or be completed on time, if at all. We have not yet demonstrated our ability to successfully complete Phase 3 or other pivotal clinical trials, obtain regulatory or marketing approvals, manufacture a commercial-scale product or arrange for a third party to do so on our behalf, or conduct sales, marketing and distribution activities necessary for successful product commercialization. Additionally, we expect our financial condition and operating results to continue to fluctuate significantly from period to period due to a variety of factors, many of which are beyond our control. Consequently, any predictions made about our future success or viability may not be as accurate as they could be if we had a longer operating history.</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5" w:name="page36"/>
    <w:bookmarkEnd w:id="35"/>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 addition, as our business grows, we may encounter unforeseen expenses, restrictions, difficulties, complications, delays and other known and unknown factors. We will need to transition at some point from a company with an early research and development focus to a company capable of supporting larger scale clinical trials and eventually commercial activities. We may not be successful in such a transition.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Discovery, Development and Commercialization</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developed or may develop programs for the diseases we plan to address with bempikibart or other product candidates.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drugs and biologics is highly competitive. Our product candidates may compete with other product candidates in development for similar indications, and if approved, bempikibart or other product candidates will face significant competition and our failure to effectively compete may prevent us from achieving significant market penetration. We compete with a variety of multinational biopharmaceutical companies, specialized biotechnology companies and emerging biotechnology companies, as well as academic institutions, governmental agencies, and public and private research institutions, among others. Many of the companies with which we are currently competing or will compete against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patient registration for clinical trials, as well as in acquiring technologies complementary to, or necessary for, bempikibart or other product candidates.</w:t>
      </w:r>
    </w:p>
    <w:p>
      <w:pPr>
        <w:spacing w:after="0" w:line="19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competitors have developed, are developing or may develop programs and processes competitive with bempikibart or other product candidates and processes. Competitive therapeutic treatments include those that have already been approved and accepted by the medical community and any new treatments. Our success will depend partially on our ability to develop and commercialize products that have a competitive safety, efficacy, dosing and/or presentation profile. Our commercial opportunity and success will be reduced or eliminated if competing products are safer, more effective, have a more attractive dosing profile or presentation or are less expensive than any products we may develop, if any, or if competitors develop competing products or if generic products or biosimilars enter the market more quickly than we are able to, if at all, and are able to gain market acceptance.</w:t>
      </w:r>
    </w:p>
    <w:p>
      <w:pPr>
        <w:spacing w:after="0" w:line="29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Bempikibart and the rest of our pipeline are in early stages of development and may fail in development or suffer delays that materially and adversely affect their commercial viability. If we or our current or future collaborators are unable to complete development of, or commercialize, our product candidates, or experience significant delays in doing so, our business will be materially harmed.</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no products on the market and bempikibart and the rest of our pipeline are in the early stages of development. As a result, we expect it will be many years before we commercialize any product candidate, if any. Our ability to achieve and sustain profitability depends on obtaining regulatory approvals for, and successfully commercializing, bempikibart or other product candidates either alone or with third parties, and we cannot guarantee that we will ever obtain regulatory approval for any product candidates. We have limited experience as a company in conducting and managing the clinical trials necessary to obtain regulatory approvals, including approval by the FDA or comparable foreign regulatory authorities. We have also not yet demonstrated our ability to obtain regulatory approvals, manufacture a commercial scale product or arrange for a third party to do so on our behalf, or conduct sales and marketing activities necessary for successful product commercialization. Before obtaining regulatory approval for the commercial distribution of product candidates, we or an existing or future collaborator must conduct extensive preclinical tests and clinical trials to demonstrate the safety and efficacy in humans of such product candidates.</w:t>
      </w:r>
    </w:p>
    <w:p>
      <w:pPr>
        <w:spacing w:after="0" w:line="188"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or our collaborators may experience delays in initiating or completing clinical trials. We or our collaborators also may experience numerous unforeseen events during, or as a result of, any current or future clinical trials that could delay or prevent our ability to receive marketing approval or commercialize bempikibart or any other product candidates, including:</w:t>
      </w:r>
    </w:p>
    <w:p>
      <w:pPr>
        <w:spacing w:after="0" w:line="68" w:lineRule="exact"/>
        <w:rPr>
          <w:sz w:val="20"/>
          <w:szCs w:val="20"/>
          <w:color w:val="auto"/>
        </w:rPr>
      </w:pPr>
    </w:p>
    <w:p>
      <w:pPr>
        <w:ind w:left="1020" w:right="1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the FDA or ethics committees may not authorize us or our investigators to commence a clinical trial or conduct a clinical trial at a prospective trial site;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ind w:left="1020" w:right="1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CROs,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any product candidates may fail to show safety or efficacy, produce negative or inconclusive results and we may decide, or regulators may require us, to conduct additional preclinical studies or clinical trials or we may decide to abandon product development programs;</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of any our product candidates may be larger than we anticipate, especially if regulatory bodies require completion of non-inferiority or superiority trials compared to approved products, enrollment in these clinical trials may be slower than we anticipate or subjects may drop out of these clinical trials or fail to return for post-treatment follow-up at a higher rate than we anticipate;</w:t>
      </w:r>
    </w:p>
    <w:p>
      <w:pPr>
        <w:spacing w:after="0" w:line="71"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 or expand the scope of our planned clinical trials to accrue sufficient data from such trials;</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any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product candidates or other materials necessary to conduct clinical trials of our product candidates may be inadequate to initiate or complete a given clinical trial;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manufacture sufficient quantities of our product candidates for use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of other therapies may raise safety or efficacy concerns about our product candidates;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establish an appropriate safety profile for a product candidate based on clinical or preclinical data for such product candidate as well as data emerging from other therapies in the same class as our product candidates; and</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such as long-term toxicology studies or impose other requirements before permitting us to initiate a clinical trial.</w:t>
      </w:r>
    </w:p>
    <w:p>
      <w:pPr>
        <w:spacing w:after="0" w:line="16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Commencing clinical trials in the U.S. is subject to the FDA allowing an Investigational New Drug Application (“IND”) to proceed after an evaluation of the proposed clinical trial design. In the event that the FDA requires us to complete additional preclinical studies or we are required to satisfy other FDA requests prior to commencing clinical trials, the start of our clinical trials may be delayed. Even after we receive and incorporate guidance from the FDA, the FDA could disagree that we have satisfied their requirements to commence any clinical trial or change their position on the acceptability of our trial design or the clinical endpoints selected, which may require us to complete additional preclinical studies or clinical trials, delay the enrollment of our clinical trials or impose stricter approval conditions than we currently expect. There are comparable processes and risks applicable to clinical trial applications needed to initiate clinical trials in other countries, including countries in the European Union (“EU”).</w:t>
      </w:r>
    </w:p>
    <w:p>
      <w:pPr>
        <w:spacing w:after="0" w:line="18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may not have the financial resources to continue development of, or to modify existing or enter into new collaborations for, a product candidate if we experience any issues that delay or prevent regulatory approval of, or our ability to commercialize, bempikibart or any other product candidates. We or our current or future collaborators’ inability to complete development of, or commercialize, bempikibart or any other product candidates or significant delays in doing so, could have a material and adverse effect on our business, financial condition, results of operations and prospects.</w:t>
      </w:r>
    </w:p>
    <w:p>
      <w:pPr>
        <w:spacing w:after="0" w:line="2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most advanced product candidate, bempikibart, and our clinical trials of our lead candidate may not be successful.</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future success is substantially dependent on our, or our current or future strategic partners’, ability to timely obtain marketing approval for, and then successfully commercialize, our most advanced product candidate, bempikibart. We are investing a majority of our efforts and financial resources into the research and development of bempikibart. We are developing bempikibart to treat autoimmune and inflammatory diseases, with the aim of achieving the optimal balance of efficacy,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spacing w:after="0" w:line="253" w:lineRule="auto"/>
        <w:rPr>
          <w:sz w:val="20"/>
          <w:szCs w:val="20"/>
          <w:color w:val="auto"/>
        </w:rPr>
      </w:pPr>
      <w:r>
        <w:rPr>
          <w:rFonts w:ascii="Times New Roman" w:cs="Times New Roman" w:eastAsia="Times New Roman" w:hAnsi="Times New Roman"/>
          <w:sz w:val="18"/>
          <w:szCs w:val="18"/>
          <w:color w:val="auto"/>
        </w:rPr>
        <w:t>tolerability and convenience for patients via infrequently administered subcutaneous doses. We have completed a Phase 1 double-blind, placebo-controlled, single ascending dose and multiple dose study to assess the safety, pharmacokinetic (“PK”) and pharmacodynamic (“PD”) of bempikibart after subcutaneous administration in healthy subjects. This study supported further evaluation of bempikibart, including through demonstration of a PK/PD profile supporting evaluation of every two-week subcutaneous dosing in clinical trials. Subsequent to this study, we advanced bempikibart into two Phase 2a clinical trials. The Phase 2a SIGNAL-AD trial evaluated the use of bempikibart for the treatment of atopic dermatitis (“AD”) and the Phase 2a SIGNAL-AA trial is evaluating bempikibart for the treatment of alopecia areata (“AA”). We completed enrollment and dosing through the 12-week and</w:t>
      </w:r>
    </w:p>
    <w:p>
      <w:pPr>
        <w:spacing w:after="0" w:line="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7"/>
          <w:szCs w:val="17"/>
          <w:color w:val="auto"/>
        </w:rPr>
        <w:t>24-week periods for the SIGNAL-AD and SIGNAL-AA trials, respectively, and in December 2024, we announced topline data from both clinical trials, as well as our intention to advance bempikibart for the treatment of AA. In April 2025, we announced dosing of the first patients in both the Part A open-label extension and Part B of the SIGNAL-AA Phase 2a clinical trials and in October 2025, we announced completion of enrollment in Part B of the SIGNAL-</w:t>
      </w:r>
    </w:p>
    <w:p>
      <w:pPr>
        <w:ind w:firstLine="8"/>
        <w:spacing w:after="0" w:line="255" w:lineRule="auto"/>
        <w:tabs>
          <w:tab w:leader="none" w:pos="3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2a clinical trial. The success of bempikibart may depend on having a comparable safety and efficacy profile and a more favorable dosing schedule (i.e., less frequent dosing) with patient-friendly administration (i.e., S.C. self-administration) to products currently approved or in development for the indications we plan to pursue.</w:t>
      </w:r>
    </w:p>
    <w:p>
      <w:pPr>
        <w:spacing w:after="0" w:line="18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previously completed a Phase 1 clinical trial of ADX-097 in healthy volunteers and initiated a Phase 2 clinical trial of this candidate. However, in November 2025, we sold to Akebia substantially all of our assets related to the research, development, manufacture and commercialization of ADX-097. Following the sale, Akebia will be responsible for any future development and commercialization of ADX-097.</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Bempikibart will require additional clinical development, evaluation of clinical and manufacturing activities, marketing approval in multiple jurisdictions, substantial investment and significant marketing efforts before we generate any revenues from product sales, if any. We are not permitted to market or promote any product candidates, before we receive marketing approval from the FDA and/or comparable foreign regulatory authorities, and we may never receive such marketing approvals.</w:t>
      </w:r>
    </w:p>
    <w:p>
      <w:pPr>
        <w:spacing w:after="0" w:line="180"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success of bempikibart will depend on a variety of factors. We do not have complete control over many of these factors, including certain aspects of clinical development and the regulatory submission process, potential threats to our intellectual property rights and the manufacturing, marketing, distribution and sales efforts of any current or future collaborator or other third party. Accordingly, we cannot guarantee that we will ever be able to generate revenue through the sale of any of our product candidates, even if approved. If we are not successful in commercializing bempikibart, or are significantly delayed in doing so, our business will be materially harmed.</w:t>
      </w:r>
    </w:p>
    <w:p>
      <w:pPr>
        <w:spacing w:after="0" w:line="28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announce and expect, the commercialization of bempikibart or any other product candidates may be delayed.</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preclinical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bempikibart or any other product candidates may be delayed or never achieved.</w:t>
      </w:r>
    </w:p>
    <w:p>
      <w:pPr>
        <w:spacing w:after="0" w:line="29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is unproven, and we may not be successful in our efforts to build a pipeline of product candidates with commercial value.</w:t>
      </w:r>
    </w:p>
    <w:p>
      <w:pPr>
        <w:spacing w:after="0" w:line="5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approach to the discovery and/or development of bempikibart leverages the understanding of cytokine and complement biology in diverse tissues and indications. Bempikibart is directed at target pathways, IL-7 and thymic stromal lymphopoietin (“TSLP”) signaling, that have been implicated in several inflammatory and autoimmune diseases. However, the scientific research that forms the basis of efforts to develop bempikibart is ongoing and has not been successfully proven in clinical trials. The long-term safety and exposure profile of bempikibart is also unknown.</w:t>
      </w:r>
    </w:p>
    <w:p>
      <w:pPr>
        <w:spacing w:after="0" w:line="180" w:lineRule="exact"/>
        <w:rPr>
          <w:sz w:val="20"/>
          <w:szCs w:val="20"/>
          <w:color w:val="auto"/>
        </w:rPr>
      </w:pPr>
    </w:p>
    <w:p>
      <w:pPr>
        <w:ind w:right="80" w:firstLine="509"/>
        <w:spacing w:after="0" w:line="277" w:lineRule="auto"/>
        <w:rPr>
          <w:sz w:val="20"/>
          <w:szCs w:val="20"/>
          <w:color w:val="auto"/>
        </w:rPr>
      </w:pPr>
      <w:r>
        <w:rPr>
          <w:rFonts w:ascii="Times New Roman" w:cs="Times New Roman" w:eastAsia="Times New Roman" w:hAnsi="Times New Roman"/>
          <w:sz w:val="17"/>
          <w:szCs w:val="17"/>
          <w:color w:val="auto"/>
        </w:rPr>
        <w:t>We may ultimately discover that our technologies for our specific targets and indications and bempikibart and any product candidates resulting therefrom do not possess certain properties required for therapeutic effectiveness. For our lead candidate, we currently have only data from our Phase 1 clinical trial and our Phase 2 Part A AA and AD clinical trials, and the same data or results may not be seen in larger, later-stage clinical trials. In addition, product candidates using investigational technologies and approaches may demonstrate different chemical and pharmacological properties in patients than they do in laboratory studies and bempikibart may interact with human biological systems in unforeseen, ineffective or possibly harmful ways.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8" w:name="page39"/>
    <w:bookmarkEnd w:id="38"/>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seek to discover and develop product candidates that are based on novel targets and technologies that are unproven. If our discovery activities fail to identify novel targets or technologies for drug discovery, or such targets prove to be unsuitable for treating human disease, we may not be able to develop viable additional product candidates. We and our existing or future collaborators may never receive approval to market and commercialize bempikibart or future product candidates. Even if we or an existing or future collaborator obtains regulatory approval, the approval may be for targets, disease indications or patient populations that are not as broad as we intended or desired or may require labeling that includes significant use or distribution restrictions or safety warnings.</w:t>
      </w:r>
    </w:p>
    <w:p>
      <w:pPr>
        <w:spacing w:after="0" w:line="291"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that is subject to delays and with uncertain outcomes,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product candidate, we must complete preclinical studies and then conduct extensive clinical trials to demonstrate the safety and efficacy of our product candidate in humans. Our clinical trials may not be conducted as planned or completed on schedule, if at all, and failure can occur at any time during the preclinical study or clinical trial process. For example, we depend on the availability of non-human primates (“NHPs”) to conduct certain preclinical studies that we are required to complete prior to submitting an IND and initiating clinical development. There is currently a global shortage of certain types of NHPs available for Good Laboratory Practice (“GLP”) testing for drug development. This could cause the cost of obtaining NHPs for our future preclinical studies to increase significantly, and if the shortage continues, and could result in delays to our development timelines. Furthermore, a failure of one or more clinical trials can occur at any stage of testing.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we are currently conducting an “open-label” clinical trial. An open-label trial is one where both the patient and investigator know whether the patient is receiving the investigational product candidate. Such trials may test only the investigational product candidate and sometimes may do so at different dose levels. Open-label trials are subject to various limitations that may exaggerate any therapeutic effect as patients in such trials are aware when they are receiving treatment. Open-label trials may be subject to a “patient bias” where patients perceive their symptoms to have improved merely due to their awareness of receiving an experimental treatment. In addition, open-label trials may be subject to an “investigator bias” where those assessing and reviewing the physiological outcomes of the trials are aware of which patients have received treatment and may interpret the information of the treated group more favorably given this knowledge. The results from an open-label trial may not be predictive of future clinical trial results with our product candidates when studied in a controlled environment with a placebo or active control. In addition, we expect to rely on patients to provide feedback on measures which are subjective and inherently difficult to evaluate. These measures can be influenced by factors outside of our control, and can vary widely from day to day for a particular patient, and from patient to patient and from site to site within a clinical trial.</w:t>
      </w:r>
    </w:p>
    <w:p>
      <w:pPr>
        <w:spacing w:after="0" w:line="19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Although we plan to seek regulatory guidance in designing and conducting our development plans, we cannot be sure that the FDA or comparable foreign regulatory authorities will agree with these plans. If the FDA or comparable regulatory authorities requires us to revise or amend a clinical trial, generate additional pre-clinical data in support of clinical conduct (e.g., toxicology studies), conduct additional trials or enroll additional patients, our development timelines may be delayed. We cannot be sure that submission of an IND, clinical trial application (“CTA”) or similar application will result in the FDA or comparable foreign regulatory authorities, as applicable, allowing clinical trials to begin in a timely manner, if at all. Moreover, even if these trials begin, issues may arise that could cause regulatory authorities to suspend or terminate such clinical trials. Events that may prevent successful or timely initiation or completion of clinical trials include:</w:t>
      </w:r>
    </w:p>
    <w:p>
      <w:pPr>
        <w:spacing w:after="0" w:line="79"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w:t>
      </w:r>
    </w:p>
    <w:p>
      <w:pPr>
        <w:spacing w:after="0" w:line="1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authorities on study design or implementation of the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in obtaining regulatory authorization to commence a trial;</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training suitable clinical investigators;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IRB or ethics committee approval at each clinical trial site;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patient enrollment in our clinical trials for a variety of reasons;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other third parties or us to adhere to clinical trial protocols;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or any other regulatory authority’s Good Clinical Practices (“GCPs”), or regulations or applicable regulations or regulatory guidelines in other countries;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clinical trial protocols;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observation or analyses of resulting data;</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a CDMO, and delays or failure by our CDMOs or us to make any necessary changes to such manufacturing processes;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being unwilling or unable to satisfy their contractual obligations to us.</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could also encounter delays if a clinical trial is placed on clinical hold, suspended or terminated by us, the FDA, the competent authorities of the EU Member States or other regulatory authorities or the IRBs or ethics committees of the institutions in which such trials are being conducted, if a clinical trial is recommended for suspension or termination by the data safety monitoring board (“DSMB”), or equivalent body for such trial, or on account of changes to federal, state, or local laws. If we are required to conduct additional clinical trials or other testing of bempikibart or any other product candidates beyond those that we contemplate, if we are unable to successfully complete clinical trials of bempikibart or any other product candidates, if the results of these trials are not positive or are only moderately positive or if there are safety concerns, our business and results of operations may be adversely affected and we may incur significant additional costs.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in the future.</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 key part of our long-term business strategy is to identify and develop additional product candidates. Our preclinical research and clinical trials may initially show promise in identifying potential product candidates yet fail to yield product candidates for clinical development for a number of reasons. For example, we may be unable to identify or design additional product candidates with the pharmacological and pharmacokinetic drug properties that we desire, including, but not limited to, adequate tissue targeting, acceptable safety profile or the potential for the product candidate to be delivered in a convenient formulation. Research programs to identify new product candidates require substantial technical, financial, and human resources. If we are unable to identify suitable complement targeting strategies for preclinical and clinical development, we may not be able to successfully implement our business strategy, and may have to delay, reduce the scope of, suspend or eliminate one or more of our product candidates, clinical trials or future commercialization efforts, which would negatively impact our financial condition.</w:t>
      </w:r>
    </w:p>
    <w:p>
      <w:pPr>
        <w:spacing w:after="0" w:line="29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future clinical trials, our clinical development activities could be delayed or otherwise adversely affected.</w:t>
      </w:r>
    </w:p>
    <w:p>
      <w:pPr>
        <w:spacing w:after="0" w:line="51"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future clinical trials for a variety of reasons. The timely completion of clinical trials in accordance with their protocols depends, among other things, on the ability to enroll a sufficient number of patients who remain in the trial until its conclusion. The enrollment of patients in future trials for bempikibart or any other product candidates will depend on many factors, including if patients choose to enroll in clinical trials, rather than using approved products, or if our competitors have ongoing clinical trials for product candidates that are under development for the same indications as our product candidates, and patients instead enroll in such clinical trials. Additionally, the number of patients required for clinical trials of bempikibart or any other product candidates may be larger than we anticipate, especially if regulatory bodies require the completion of non-inferiority or superiority trials compared to approved products. Even if we are able to enroll a sufficient number of patients for our future clinical trials, we may have difficulty maintaining patients in our clinical trials. Our inability to enroll or maintain a sufficient number of patients would result in significant delays in completing clinical trials or receipt of marketing approvals and increased development costs or may require us to abandon one or more clinical trials altogether.</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0" w:name="page41"/>
    <w:bookmarkEnd w:id="40"/>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“topline” or interim data from our clinical trials that we announce or publish from time to time may change as more patient data becomes available and are subject to audit and verification procedures.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are based on a preliminary analysis of then-available data, and the results and related findings and conclusions are subject to change following a more comprehensive review of the data. We also make assumptions, estimations, calculations and conclusions as part of our analyses of these data without the opportunity to fully and carefully evaluate complete data. As a result, the preliminary or topline results that we report may differ from future results of the same studies, or different conclusions or considerations may qualify such results, once additional data have been received and fully evaluated or subsequently made subject to audit and verification procedures. Any preliminary or topline data should be viewed with caution until the final data is available. From time to time, we may also disclose interim data from our preclinical studies and clinical trials. Interim data are subject to the risk that one or more of the clinical outcomes may materially change as patient enrollment continues and more patient data become available or as patients from our clinical trials continue other treatments.</w:t>
      </w:r>
    </w:p>
    <w:p>
      <w:pPr>
        <w:spacing w:after="0" w:line="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product candidate, the approvability or commercialization of a particular product candidate and us in general. In addition, the information we choose to publicly disclose regarding a particular preclinical study or clinical trial is based on what is typically extensive information, and you or others may not agree with what we determine is material or otherwise appropriate information to include in our disclosure. If the preliminary, topline or interim data that we report differ from actual results, or if others, including regulatory authorities, disagree with the conclusions reached, our ability to obtain approval for, and commercialize, bempikibart or any other product candidate may be harmed, which could harm our business, operating results, prospects or financial condition.</w:t>
      </w:r>
    </w:p>
    <w:p>
      <w:pPr>
        <w:spacing w:after="0" w:line="29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clinical trials or those of our future collaborators may reveal significant adverse events or undesirable side effects not seen in our preclinical and/or early clinical studies and may result in a safety profile that could halt clinical development, inhibit regulatory approval or limit commercial potential or market acceptance of any of bempikibart or any other product candidates or result in potential product liability claims.</w:t>
      </w:r>
    </w:p>
    <w:p>
      <w:pPr>
        <w:spacing w:after="0" w:line="67"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Results of our clinical trials could reveal a high and unacceptable severity and prevalence of side effects, adverse events or unexpected characteristics. While our completed preclinical studies and our completed and ongoing clinical trials in humans have not shown any such characteristics to date, significant further evaluation must be done of each of our product candidates. If significant adverse events or other side effects are observed in any of our current or future clinical trials, we may have difficulty recruiting patients to such trials, patients may drop out of our trials, patients may be harmed, or we may be required to abandon the trials or our development efforts of one or more product candidates altogether. We, the FDA, the European Medicines Agency (the “EMA”), or other applicable regulatory authorities, or an IRB or ethics committee, may suspend any clinical trials of bempikibart or any other product candidates at any time for various reasons, including a belief that subjects or patients in such trials are being exposed to unacceptable health risks or adverse side effects. Some potential products developed in the biotechnology industry that initially showed therapeutic promise in early-stage trials have later been found to cause side effects that prevented their further development. Even if the side effects do not preclude a product candidate from obtaining or maintaining marketing approval, undesirable side effects may inhibit market acceptance of an approved product due to its tolerability versus other therapies. Treatment-emergent adverse events could also affect patient recruitment or the ability of enrolled subjects to complete our clinical trials or could result in potential product liability claims. Potential side effects associated with bempikibart or any other product candidates may not be appropriately recognized or managed by the treating medical staff, as toxicities resulting from bempikibart or any other product candidates may not be normally encountered in the general patient population and by medical personnel. Any of these occurrences could harm our business, financial condition, results of operations and prospects significantly.</w:t>
      </w:r>
    </w:p>
    <w:p>
      <w:pPr>
        <w:spacing w:after="0" w:line="19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even if we successfully advance bempikibart or any other product candidates through clinical trials, such trials will only include a limited number of patients and limited duration of exposure to such product candidates. As a result, we cannot be assured that adverse effects of bempikibart or any other product candidates will not be uncovered when a significantly larger number of patients are exposed to such product candidate after approval. Further, any clinical trials may not be sufficient to determine the effect and safety consequences of using our product candidate over a multi-year period.</w:t>
      </w:r>
    </w:p>
    <w:p>
      <w:pPr>
        <w:spacing w:after="0" w:line="183"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If any of the foregoing events occur or if bempikibart or any other product candidates prove to be unsafe, our entire pipeline could be affected, which would have a material adverse effect on our business, financial condition, results of operations and prospects.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1" w:name="page42"/>
    <w:bookmarkEnd w:id="41"/>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such as bempikibart, and fail to capitalize on candidates that may be more profitable or for which there is a greater likelihood of success.</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intend to focus our research and development efforts on certain selected product candidates. For example, we initially focused on our most advanced product candidates, bempikibart and ADX-097, and in November 2025, we sold to Akebia substantially all of our assets related to the research, development, manufacture and commercialization of ADX-097. As a result, we may forgo or delay pursuit of opportunities with other potential candidates that may later prove to have greater commercial potential. Our resource allocation decisions may cause us to fail to capitalize on viable commercial products or profitable market opportunities. Our spending on current and future research and development programs for specific indications may not yield any commercially viable product candidates. If we do not accurately evaluate the commercial potential or target market for a particular product candidate, we may relinquish valuable rights to that candidate through collaboration, licensing or other royalty arrangements in cases in which it would have been more advantageous for us to retain sole development and commercialization rights to such candidate.</w:t>
      </w:r>
    </w:p>
    <w:p>
      <w:pPr>
        <w:spacing w:after="0" w:line="29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regulatory approval is obtained, any approved products may not achieve adequate market acceptance among clinicians, patients, healthcare third-party payors and others in the medical community necessary for commercial success and we may not generate any future revenue from the sale or licensing of such products.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regulatory approval is obtained for bempikibart or any other product candidates, they may not gain market acceptance among physicians, patients, healthcare payors or the medical community. We may not generate or sustain revenue from sales of the product due to factors such as whether the product can be sold at a competitive cost and whether it will otherwise be accepted in the market. There are several approved products and product candidates in later stages of development for the treatment of AA. Market participants with significant influence over acceptance of new treatments, such as clinicians and third-party payors, may not adopt a drug or biologic with a target product profile such as that of bempikibart for its targeted indications, and we may not be able to convince the medical community and third-party payors to accept and use, or to provide favorable reimbursement for, any product candidates developed by us or our existing or future collaborators. Market acceptance of bempikibart or any other product candidates will depend on many factors, including factors that are not within our control.</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Sales of products also depend on the willingness of clinicians to prescribe the treatment. We cannot predict whether clinicians, clinicians’ organizations, hospitals, other healthcare providers, government agencies or private insurers will determine that any of our approved products are safe, therapeutically effective, cost effective or less burdensome as compared with competing treatments. If bempikibart or any other product candidate is approved but does not achieve an adequate level of acceptance by such parties, we may not generate or derive sufficient revenue from that product and may not become or remain profitable.</w:t>
      </w:r>
    </w:p>
    <w:p>
      <w:pPr>
        <w:spacing w:after="0" w:line="28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and may lack the necessary expertise, personnel and resources to successfully commercialize a product candidate on our own or together with suitable collaborators.</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have never commercialized a product candidate, and we currently have no sales force, marketing or distribution capabilities. To achieve commercial success for a product candidate, which we may license to others, we may rely on the assistance and guidance of those collaborators. For a product candidate for which we retain commercialization rights and marketing approval, we will have to develop our own sales, marketing and supply organization or outsource these activities to a third party. Factors that may affect our ability to commercialize a product candidate, if approved, on our own include recruiting and retaining adequate numbers of effective sales and marketing personnel, developing adequate educational and marketing programs to increase public acceptance of our approved product candidate, ensuring regulatory compliance of us, employees and third parties under applicable healthcare laws and other unforeseen costs associated with creating an independent sales and marketing organization. Developing a sales and marketing organization will be expensive and time-consuming and could delay the launch of a product candidate upon approval. We may not be able to build an effective sales and marketing organization. If we are unable to build our own distribution and marketing capabilities or to find suitable partners for the commercialization of an approved product candidate, we may not generate revenues from them or be able to reach or sustain profitability.</w:t>
      </w:r>
    </w:p>
    <w:p>
      <w:pPr>
        <w:spacing w:after="0" w:line="29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never completed any late-stage clinical trials and we may not be able to submit applications for regulatory authorizations to commence additional clinical trials on the timelines we expect, and, even if we are able to, the FDA, EMA or comparable foreign regulatory authorities may not permit us to proceed and could also suspend/terminate the trial after it has been initiated.</w:t>
      </w:r>
    </w:p>
    <w:p>
      <w:pPr>
        <w:spacing w:after="0" w:line="6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are early in our development efforts and will need to successfully complete later-stage and pivotal clinical trials in order to obtain FDA, EMA or comparable foreign regulatory approval to market our product candidates. Carrying out clinical trials and the submission of a successful IND or CTA is a complicated process. As an organization, we have limited experience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2" w:name="page43"/>
    <w:bookmarkEnd w:id="42"/>
    <w:p>
      <w:pPr>
        <w:ind w:right="40"/>
        <w:spacing w:after="0" w:line="252" w:lineRule="auto"/>
        <w:rPr>
          <w:sz w:val="20"/>
          <w:szCs w:val="20"/>
          <w:color w:val="auto"/>
        </w:rPr>
      </w:pPr>
      <w:r>
        <w:rPr>
          <w:rFonts w:ascii="Times New Roman" w:cs="Times New Roman" w:eastAsia="Times New Roman" w:hAnsi="Times New Roman"/>
          <w:sz w:val="18"/>
          <w:szCs w:val="18"/>
          <w:color w:val="auto"/>
        </w:rPr>
        <w:t>as a company in preparing, submitting and prosecuting regulatory filings. We may not be able to initiate or complete our planned clinical trials in accordance with our desired timelines. For example, we may experience manufacturing delays or other delays with IND-or CTA-enabling studies, including with suppliers, trial sites, or third-party contractors and vendors on whom we depend. Moreover, we cannot be sure that submission of an IND or a CTA or submission of a trial to an IND or a CTA will result in the FDA or EMA or comparable foreign regulatory authorities allowing further clinical trials to begin, or that, once begun, issues will not arise that lead us to suspend or terminate clinical trials. Upon submission of an IND or CTA, the FDA or EMA may recommend changes to the proposed trial designs, which may impact the number and size of registrational clinical trials required to be conducted in such development programs and may change predicted timelines for clinical development. Consequently, we may be unable to successfully and efficiently execute and complete necessary clinical trials in a way that leads to regulatory submission and approval of our product candidates. Additionally, even if regulatory authorities agree with the design and implementation of the clinical trials set forth in an IND or a CTA, such regulatory authorities may change their requirements in the future. The FDA, EMA or comparable foreign regulatory authorities may require the analysis of data from trials assessing different doses of the product candidate alone or in combination with other therapies to justify the selected dose prior to the initiation of large trials in a specific indication. Any delays or failure to file INDs or CTAs, initiate clinical trials, or obtain regulatory authorizations for our trials may prevent us from completing our clinical trials or commercializing our products on a timely basis, if at all. We are subject to similar risks related to the review and authorization of our protocols and amendments by comparable foreign regulatory authorities.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protect our patents and other proprietary rights is uncertain, exposing it to the possible loss of competitive advantage.</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product candidates and to prevent third parties from infringing on our patents and trademarks or misappropriating or violating our other intellectual property rights, thus eroding our competitive position in our market. Our success depends in large part on our ability to obtain and maintain patent protection for our product candidates and their uses, components, formulations, methods of manufacturing and methods of treatment, as well as our ability to operate without infringing on or violating the proprietary rights of others. We have licensed know-how and patent families that pertain to, among other things, composition of matter and certain methods of use relating to our leading product candidate, bempikibart. We seek to protect our proprietary position by filing patent applications in the United States and abroad related to our product candidates and novel discoveries that are important to our business. Our intellectual property strategy is, where appropriate, to file new patent applications on inventions, including improvements to existing products candidates and processes to improve our competitive edge or to improve business opportunities. We continue to assess and refine our intellectual property strategy to ensure appropriate protection and rights are secured. However, our pending and future patent applications may not result in patents being issued. We cannot assure you that issued patents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products or product candidates.</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Obtaining and enforcing patents is expensive and time-consuming, and we may not be able to file, prosecute, maintain, enforce or license all necessary or desirable patent applications or maintain and/or enforce patents that may issue based on our patent applications, at a reasonable cost or in a timely manner. 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results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CDMOs, consultants, advisors and other third parties, any of these parties may breach these agreements and disclose such results before a patent application is filed, thereby jeopardizing our ability to seek patent protection. Consequently, we may not be able to prevent any third parties from using any of our technology that is in the public domain to compete with our product candidates.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Composition of matter patents for biotechnology and pharmaceutical product candidates often provide a strong form of intellectual property protection for those types of products, as such patents provide protection without regard to any method of use. However, we cannot be certain that the claims in our pending patent applications directed to the composition of matter of our product candidates will be considered patentable by the United States Patent and Trademark Office, or USPTO, or by patent offices in foreign jurisdictions, or that the claims in any of our issued patents will be considered valid and enforceable by courts in the United States or foreign jurisdictions. Method of use patents protect the use of a product for the specified method. This type of patent does not prevent a competitor from making and marketing a product that is identical to our product candidates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w:t>
      </w:r>
    </w:p>
    <w:p>
      <w:pPr>
        <w:spacing w:after="0" w:line="18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current or future patent applications may not result in patents being issued which protect our technology or drug candidates or which do not effectively prevent others from commercializing competitive technologies and drug candidates. The patent examination process may require us or our licensors to narrow the scope of our claims or our licensors’ pending and future patent applications, which may limit the scope of patent protection that may be obtained. We cannot assure you that all of the potentially relevant prior art relating to our patents and patent applications has been found. If such prior art exists, it can invalidate a patent or prevent a patent application from being issued as a patent.</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issuance of a patent does not ensure that it is valid or enforceable, nor does it give us the right to practice the patented invention. Issued patents may be challenged, narrowed, invalidated or circumvented and third parties may have blocking patents that could prevent us from commercializing our product candidates or technologies. While we endeavor to identify and circumvent third-party patents and patent applications which may block our product candidates or technologies to minimize this risk, relevant documents may be overlooked or missed, which may in turn impact our ability to commercialize the relevant asset. In addition, court decisions may introduce uncertainty in the enforceability or scope of patents owned by pharmaceutical and biotechnology companies. Thus, any of our issued patents, including patents that we may rely on to protect our market for approved drugs, may be held invalid or unenforceable by a court of final jurisdiction.</w:t>
      </w:r>
    </w:p>
    <w:p>
      <w:pPr>
        <w:spacing w:after="0" w:line="18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 third party may also claim that our patent rights are invalid or unenforceable in a litigation. The outcome following legal assertions of invalidity and unenforceability is unpredictable. An adverse result in any legal proceeding could put one or more of our patents at risk of being invalidated or interpreted narrowly and could allow third parties to commercialize our products and compete directly with us, without payment to us, or result in our inability to manufacture or commercialize our technology, products or product candidates without infringing third-party patent rights.</w:t>
      </w:r>
    </w:p>
    <w:p>
      <w:pPr>
        <w:spacing w:after="0" w:line="18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Because patent applications in the U.S., Europe and many other jurisdictions are typically not published until 18 months after filing, and because publications of discoveries in scientific literature lag behind actual discoveries, we cannot be certain that we were the first to make the inventions claimed in our issued patents or future patent applications, or that we were the first to file for protection of the inventions set forth in our patents or patent applications. As a result, we may not be able to obtain or maintain protection for certain inventions. Therefore, the enforceability and scope of our future patents in the U.S., Europe and in many other jurisdictions cannot be predicted with certainty and, as a result, any future patents that we own, or license may not provide sufficient protection against competitors. We may not be able to obtain or maintain patent protection from our patent applications that we may file in the future, or from those we may license from third parties. Moreover, even if we are able to obtain patent protection, such patent protection may be of insufficient scope to achieve our business objectives.</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product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4" w:name="page45"/>
    <w:bookmarkEnd w:id="44"/>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are, and in the future, may be subject to the terms and conditions of licenses granted to us by others. If we fail to comply with our obligations in the agreements under which we license intellectual property rights from third parties, or these agreements are terminated, or we otherwise experience disruptions to our business relationships with our licensors, we could lose license rights that are important to our business.</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are dependent on patents rights, know-how and proprietary technology licensed from third parties. In particular, we depend substantially on our license agreement with Bristol Myers Squibb Company (“BMS”), under which we in-license patent rights and know-how that cover bempikibart (the “BMS Agreement”). For more information regarding the BMS Agreement, please see the section titled “</w:t>
      </w:r>
      <w:r>
        <w:rPr>
          <w:rFonts w:ascii="Times New Roman" w:cs="Times New Roman" w:eastAsia="Times New Roman" w:hAnsi="Times New Roman"/>
          <w:sz w:val="18"/>
          <w:szCs w:val="18"/>
          <w:i w:val="1"/>
          <w:iCs w:val="1"/>
          <w:color w:val="auto"/>
        </w:rPr>
        <w:t>Business–Collaboration and License Agreements</w:t>
      </w:r>
      <w:r>
        <w:rPr>
          <w:rFonts w:ascii="Times New Roman" w:cs="Times New Roman" w:eastAsia="Times New Roman" w:hAnsi="Times New Roman"/>
          <w:sz w:val="18"/>
          <w:szCs w:val="18"/>
          <w:color w:val="auto"/>
        </w:rPr>
        <w:t>” in this Annual Report on Form 10-K. We may also enter into additional agreements with third parties in the future.</w:t>
      </w:r>
    </w:p>
    <w:p>
      <w:pPr>
        <w:spacing w:after="0" w:line="1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current and future license agreements may impose diligence, development and commercialization timelines, milestone payments, royalties, indemnification, insurance, or other obligations on us. For example, under the BMS License Agreement, the counterparty may terminate the agreement if we fail to meet our diligence obligations, including using commercially reasonable efforts to meet diligence milestones by specified dates. If we fail to comply with our obligations to our licensors or collaborators, our counterparty may have the right to terminate this agreement. Termination of this agreement or reduction or elimination of our rights under this agreement may result in us having to negotiate a new or reinstated agreement with less favorable terms, or cause us to lose our rights under this agreement, including our rights to important intellectual property or technology that are necessary for our business.</w:t>
      </w:r>
    </w:p>
    <w:p>
      <w:pPr>
        <w:spacing w:after="0" w:line="18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Certain patent filings relating to our product candidates may be subject to step-in rights of certain of our licensors. We may have limited control over our licensor’s activities or use or licensing of any other intellectual property that may be related to our in-licensed intellectual property. If any of our licensors or licensees having rights to file, prosecute, maintain, and defend our patent rights fail to conduct these activities for patents or patent applications covering any of our product candidates, our ability to develop and commercialize those product candidates may be adversely affected and we may not be able to prevent competitors or other third parties from making, using or selling competing products. We cannot be certain that such activities by our licensors have been or will be conducted in compliance with applicable laws and regulations or will result in valid and enforceable patents or other intellectual property rights. Pursuant to the terms of the license agreements with our licensors, such licensors may have the right to control enforcement of our licensed patents or defense of any claims asserting the invalidity of such patents and, even if we are permitted to pursue such enforcement or defense, we cannot ensure the cooperation of our licensors or, in some cases, other necessary parties, such as any co-owners of patents or other intellectual property from which we have not yet obtained a license. We cannot be certain that our licensors, and in some cases, their co-owners,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In addition, even when we have the right to control patent prosecution of licensed patents and patent applications, enforcement of licensed patents, or defense of claims asserting the invalidity of those patents, we may still be adversely affected or prejudiced by actions or inactions of our licensors and their counsel that took place prior to or after assuming control.</w:t>
      </w:r>
    </w:p>
    <w:p>
      <w:pPr>
        <w:spacing w:after="0" w:line="19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current or future license agreements may not provide exclusive or sufficient rights to use such intellectual property and technology in all relevant fields of use and in all territories in which we may wish to develop or commercialize our product candidates in the future. Some licenses granted to us may be subject to certain preexisting rights held by the licensors or certain third parties. As a result, we may not be able to prevent third parties from developing and commercializing competitive products in certain territories or fields.</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event that our third party licensors determine that, in spite of our efforts, we have materially breached a license agreement or have failed to meet certain obligations thereunder, it may elect to terminate the license agreement or, in some cases, one or more license(s) under the applicable license agreement. Such termination could result in us losing the ability to develop and commercialize product candidates and technology covered by the licensed intellectual property. In the event of such termination of a third-party in-license, or if the underlying patent rights under a third-party in-license fail to provide the intended exclusivity, third parties may be able to seek regulatory approval of, and to market, products identical to ours. Moreover, our licensors may own or control intellectual property that has not been licensed to us and, as a result, we may be subject to claims, regardless of their merit, that we are infringing or otherwise violating the licensor’s rights. Any of these events could have a material adverse effect on our competitive position, business, financial conditions, results of operations and prospects.</w:t>
      </w:r>
    </w:p>
    <w:p>
      <w:pPr>
        <w:spacing w:after="0" w:line="19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If our current or future license agreements are terminated, or if the underlying patent rights fail to provide the intended exclusivity, competitors or other third parties may be able to seek regulatory approval of, and to market, products identical to ours and we may be required to cease the development and commercialization of our product candidates. Any of the foregoing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5" w:name="page46"/>
    <w:bookmarkEnd w:id="45"/>
    <w:p>
      <w:pPr>
        <w:ind w:right="400"/>
        <w:spacing w:after="0" w:line="282" w:lineRule="auto"/>
        <w:rPr>
          <w:sz w:val="20"/>
          <w:szCs w:val="20"/>
          <w:color w:val="auto"/>
        </w:rPr>
      </w:pPr>
      <w:r>
        <w:rPr>
          <w:rFonts w:ascii="Times New Roman" w:cs="Times New Roman" w:eastAsia="Times New Roman" w:hAnsi="Times New Roman"/>
          <w:sz w:val="18"/>
          <w:szCs w:val="18"/>
          <w:color w:val="auto"/>
        </w:rPr>
        <w:t>could have a material adverse effect on our competitive position, business, financial condition, results of operations and prospects. Disputes may arise regarding intellectual property subject to a licensing agreement, including:</w:t>
      </w:r>
    </w:p>
    <w:p>
      <w:pPr>
        <w:spacing w:after="0" w:line="5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misappropriate or violate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rights to third parties under our license agreements or collaborative development relationships;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with respect to the use of the licensed technology in relation to the development and commercialization of our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 and us and our partners;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or future license agreements may be subject to certain rights retained by third parties.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current or future licensors may retain certain rights under the relevant agreements with us, including the right to use the underlying product candidates for academic and research use, to publish general scientific findings from research related to the product candidates, to make customary scientific and scholarly disclosures of information relating to the product candidates, or to develop or commercialize the licensed product candidates in certain regions. In addition, the United States federal government retains certain rights in inventions produced with its financial assistance under the Patent and Trademark Law Amendments Act (the “Bayh-Dole Act”), including a “nonexclusive, nontransferable, irrevocable, paid-up license” for its own benefit. We may at times choose to collaborate with academic institutions to accelerate our preclinical research or development that are subject to the Bayh-Dole Act.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w:t>
      </w:r>
    </w:p>
    <w:p>
      <w:pPr>
        <w:spacing w:after="0" w:line="188"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addition, the United States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non-United States product manufacturers for products covered by such intellectual property. Any exercise by the government of any of the foregoing rights could harm our competitive position, business, financial condition, results of operations and prospects.</w:t>
      </w:r>
    </w:p>
    <w:p>
      <w:pPr>
        <w:spacing w:after="0" w:line="293"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ensure that patent rights relating to inventions described and claimed in our current or future licensors pending patent applications will issue or that patents based on us or any of our current future licensors patent applications will not be challenged and rendered invalid and/or unenforceable.</w:t>
      </w:r>
    </w:p>
    <w:p>
      <w:pPr>
        <w:spacing w:after="0" w:line="6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potential future licensors or collaborators will be successful in protecting our product candidates by obtaining and defending patents. We have several pending United States and foreign patent applications in our portfolio. We cannot predict:</w:t>
      </w:r>
    </w:p>
    <w:p>
      <w:pPr>
        <w:spacing w:after="0" w:line="68"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may issue based on our patent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of any patent issuing based on our patent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claims of any patent issuing based on our patent applications will provide protection against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third parties will find ways to invalidate or circumvent our patent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patents and patent applications;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6" w:name="page47"/>
    <w:bookmarkEnd w:id="46"/>
    <w:p>
      <w:pPr>
        <w:ind w:left="1020" w:right="5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to enforce and/or defend our patent rights which will be costly whether we win or lose; and</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patent applications that we own will result in issued patents with claims that cover our product candidates or uses thereof in the United States or in other foreign countries.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cannot be certain that the claims in our or any future licensors’ pending patent applications directed to our product candidates will be considered patentable by the USPTO or by patent offices in foreign countries. There can be no assurance that any such patent applications will issue as granted patents. One aspect of the determination of patentability of our or any future licensors’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or any future licensors’ patent claims or, if issued, affect the validity or enforceability of a patent claim. Even if the patents do issue based on our or any future licensors’ patent applications, third parties may challenge the validity, enforceability or scope thereof, which may result in such patents being narrowed, invalidated or held unenforceable. Furthermore, even if they are unchallenged, patents in our or any future licensors’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United States or foreign countries.</w:t>
      </w:r>
    </w:p>
    <w:p>
      <w:pPr>
        <w:spacing w:after="0" w:line="29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enjoy only limited geographical protection with respect to our patents and licensed patents and may not be able to protect our intellectual property rights throughout the world.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not be able to protect our intellectual property rights throughout the world and the legal systems in certain countries may not favor enforcement or protection of patents, trade secrets and other intellectual property. Patents are of national or regional effect, and although we currently have issued patents and pending applications in the United States, filing, prosecuting and defending patents on all of our research programs and product candidates in all countries throughout the world would be prohibitively expensive.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or any of our licensors’ inventions in all countries outside the United States, even in jurisdictions where we or any of our current or future licensors do pursue patent protection, or from selling or importing products made using our or any of our licensors’ inventions in and into the United States or other jurisdictions. Competitors may use our or any of our licensors’ technologies in jurisdictions where we have not obtained patent protection to develop their own products and, further, may export otherwise infringing products to territories where we or any future licensors have patent protection, but enforcement is not as strong as that in the United States. These competitor products may compete with our product candidates, and our or any of our licensors’ patents or other intellectual property rights may not be effective or sufficient to prevent them from competing.</w:t>
      </w:r>
    </w:p>
    <w:p>
      <w:pPr>
        <w:spacing w:after="0" w:line="19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biotechnology and pharmaceutical products, which could make it difficult for us to stop the infringement of our or our licensors’ patents or marketing of competing products in violation of our proprietary rights.</w:t>
      </w:r>
    </w:p>
    <w:p>
      <w:pPr>
        <w:spacing w:after="0" w:line="180"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 addition, some countries have compulsory licensing laws under which a patent owner may be compelled to grant licenses to third parties. Many countries also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and financial condition may be adversely affected. Accordingly, our efforts to enforce our intellectual property rights around the world may be inadequate to obtain a significant commercial advantage from the intellectual property that we develop or license.</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Certain countries outside the United States have laws that may impact a patent owner’s right to claim priority or require a patent applicant to obtain a foreign filing license or first file patent applications in a foreign jurisdiction to the extent that foreign nationals are involved in the development of the claimed subject matter of the resulting patent. our pending and future patent applications may not result in patents being issued that comply with the law of each foreign jurisdiction. Pending applications and issued patents may be challenged in various jurisdictions for failure to comply with local foreign laws, which could result in the rejection of pending applications or invalidation of issued patents. Further, the standards applied by the USPTO and foreign patent offices in granting patents are not always applied uniformly or predictably. As such, we do not know the degree of future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ind w:right="280"/>
        <w:spacing w:after="0" w:line="282" w:lineRule="auto"/>
        <w:rPr>
          <w:sz w:val="20"/>
          <w:szCs w:val="20"/>
          <w:color w:val="auto"/>
        </w:rPr>
      </w:pPr>
      <w:r>
        <w:rPr>
          <w:rFonts w:ascii="Times New Roman" w:cs="Times New Roman" w:eastAsia="Times New Roman" w:hAnsi="Times New Roman"/>
          <w:sz w:val="18"/>
          <w:szCs w:val="18"/>
          <w:color w:val="auto"/>
        </w:rPr>
        <w:t>protection that we will have on our product candidates. While we will endeavor to try to protect our product candidates with intellectual property rights, such as patents, as appropriate, the process of obtaining patents is time consuming, expensive and unpredictable.</w:t>
      </w:r>
    </w:p>
    <w:p>
      <w:pPr>
        <w:spacing w:after="0" w:line="16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298"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 Patent and Trademark Office (the “USPTO”) and foreign patent agencies over the lifetime of a patent. In addition, the USPTO and other foreign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we or our licensors fail to maintain the patents and patent applications covering our drug candidates or if we or our licensors otherwise allow our patents or patent applications to be abandoned or lapse, our competitors might be able to enter the market, which would hurt our competitive position and could impair our ability to successfully commercialize our drug candidates in any indication for which they are approved.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one or more of our product candidates could be found invalid or unenforceable.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Any issued patents that we may license or own covering our product candidates could be narrowed or found invalid or unenforceable if challenged in court or before administrative bodies in the U.S. or abroad, including the USPTO. Patent terms, including any extensions or adjustments that may or may not be available to us, may be inadequate to protect our competitive position with respect to our product candidates for an adequate amount of time, and we may be subject to claims challenging the inventorship, validity, enforceability of our patents and/or other intellectual property. Further, if we encounter delays in our clinical trials or delays in obtaining regulatory approval, the period of time during which we could market our product candidates under patent protection would be reduced. Thus, the patents that we own and license may not afford us any meaningful competitive advantage.</w:t>
      </w:r>
    </w:p>
    <w:p>
      <w:pPr>
        <w:spacing w:after="0" w:line="187"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Moreover, we or our licensors may be subject to a third-party pre-issuance submission of prior art to the USPTO or the European Patent Office or become involved in opposition, derivation, revocation,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our product candidates.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with respect to our product candidates for an adequate amount of time.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Once patents covering our product candidates have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91"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U.S. under the Hatch-Waxman Act and in foreign countries under similar legislation, thereby potentially extending the term of our marketing exclusivity for our product candidates, if approved, our business may be materially harmed.</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U.S., the patent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However, a patent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are available in Europe and certain other non-U.S. jurisdictions to extend the term of a patent that covers an approved drug. While, in the future, if and when our product candidates receive FDA approval, we expect to apply for patent term extension on patents covering such product candidates, there is no guarantee that the applicable authorities will agree with our assessment of whether such extension should be granted, and even if granted, the length of such extension. we may not be granted patent term extension either in the U.S.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96" w:lineRule="exact"/>
        <w:rPr>
          <w:sz w:val="20"/>
          <w:szCs w:val="20"/>
          <w:color w:val="auto"/>
        </w:rPr>
      </w:pPr>
    </w:p>
    <w:p>
      <w:pPr>
        <w:ind w:right="260" w:firstLine="509"/>
        <w:spacing w:after="0" w:line="254" w:lineRule="auto"/>
        <w:rPr>
          <w:sz w:val="20"/>
          <w:szCs w:val="20"/>
          <w:color w:val="auto"/>
        </w:rPr>
      </w:pPr>
      <w:r>
        <w:rPr>
          <w:rFonts w:ascii="Times New Roman" w:cs="Times New Roman" w:eastAsia="Times New Roman" w:hAnsi="Times New Roman"/>
          <w:sz w:val="18"/>
          <w:szCs w:val="18"/>
          <w:color w:val="auto"/>
        </w:rPr>
        <w:t>Also, there are detailed rules and requirements regarding the patents that may be submitted to the FDA for listing in the Licensed Biological Products with Reference Product Exclusivity and Biosimilarity or Interchangeability Evaluations (the “Purple Book”), a searchable, online database that contains information about biological products, including biosimilar and interchangeable biological products, licensed (approved) by the FDA under the Public Health Service Act. We may be unable to obtain patents covering our product candidates that contain one or more claims that satisfy the requirements for listing in the Purple Book. Even if we submit a patent for listing in the Purple Book, the FDA may decline to list the patent, or a manufacturer of generic drugs may challenge the listing. If any of our product candidates are approved and patents covering such product candidates not listed in the Purple Book, a manufacturer of generic drugs would not have to provide advance notice to us of any abbreviated new drug application filed with the FDA to obtain permission to sell a generic version of such product candidates.</w:t>
      </w:r>
    </w:p>
    <w:p>
      <w:pPr>
        <w:spacing w:after="0" w:line="29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U.S. and other jurisdictions could diminish the value of patents in general, thereby impairing our ability to protect our intellectual property.</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interpretation of patent laws in the U.S., including patent reform legislation such as the Leahy-Smith America Invents Act (the “Leahy-Smith Act”), could increase the uncertainties and costs surrounding the prosecution of our future owned and in-licensed patent applications and the maintenance, enforcement or defense of our owned and in-licensed issued patents. The Leahy-Smith Act includes a number of significant changes to U.S.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challenge the validity of a patent at USPTO-administered post-grant proceedings, including post-grant review, inter partes review, and derivation proceedings. Assuming that other requirements for patentability are met, prior to March 2013, in the U.S., the first to invent the claimed invention was entitled to the patent, while outside the U.S., the first to file a patent application was entitled to the patent. After March 2013, under the Leahy-Smith Act, the U.S. transitioned to a first-to-file system in which, assuming that the other statutory requirements for patentability are met, the first inventor to file a patent application will be entitled to the patent on an invention regardless of</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9" w:name="page50"/>
    <w:bookmarkEnd w:id="49"/>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altered the rights of patent owners in certain situations. This combination of events has created uncertainty with respect to the validity and enforceability of patents once obtained. Depending on future legislation by the U.S. Congress, decisions by the federal courts and the USPTO, the laws and regulations governing patents could change in unpredictable ways that could have a material adverse effect on our patent rights and our ability to protect, defend and enforce our patent rights in the future. For example, in the case Amgen v. Sanofi, the Supreme Court held broad functional antibody claims invalid for lack of enablement. Similarly, in the case Juno v. Kite, the Federal Circuit held genus claims directed to CAR-T cells invalid for lack of written description for failing to provide disclosure commensurate with the scope of the claims. While we do not believe that any of the patents licensed or owned by us will be found invalid based on these decisions, we cannot predict how future decisions by the courts, the U.S. Congress or the USPTO may impact the value of our patents. Similarly, changes in the patent laws of other jurisdictions could adversely affect our ability to obtain and effectively enforce our patent rights, which would have a material adverse effect on our business and financial condition.</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Moreover, in 2012, the European Union Patent Package (“EU Patent Package”) regulations were passed with the goal of providing a single pan-European Unitary Patent (“UP”), covering all participating European Union member states, and a new European Unified Patent Court, UPC, for litigation involving European patents including all UPs. The EU Patent Package was implemented on June 1, 2023. As a result, all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if not opted out.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before the prescribed deadlines, our future European patents could remain under the jurisdiction of the UPC. The UPC will provide our competitors with a new forum to centrally revoke its European patents that have not been opted out, and allow for the possibility of a competitor to obtain pan-European injunction. Such a loss of patent protection could have a material adverse impact on our business and our ability to commercialize our technology and product candidates and, resultantly, on our business, financial condition, prospects and results of operations.</w:t>
      </w:r>
    </w:p>
    <w:p>
      <w:pPr>
        <w:spacing w:after="0" w:line="29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 candidates, if approved.</w:t>
      </w:r>
    </w:p>
    <w:p>
      <w:pPr>
        <w:spacing w:after="0" w:line="5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third party patents, the scope of said patent claims or the expiration of relevant patents, are complete, accurate or thorough, nor can we be certain that we have identified each and every third-party patent and pending application in the U.S. and abroad that is relevant to or necessary for the commercialization of our product candidates, if approved, in any jurisdiction. The scope of a patent claim is determined by an interpretation of the law, the written disclosure in a patent and the patent’s prosecution history. Our interpretation of the relevance or the scope of a patent or a pending application may be incorrect. Our determination of the expiration date of any patent in the U.S. or abroad that we consider relevant may be incorrect. Our failure to identify and correctly interpret relevant patents may negatively impact our ability to develop and market our product candidates.</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because some patent applications in the U.S. may be maintained in secrecy until the patents are issued, patent applications in the U.S.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 candidates or technology similar to ours. Any such patent application may have priority over our patent applications or patents, which could require us to obtain rights to issued patents covering such product candidates or technologies.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or any future licensors’ patents or other intellectual property as an inventor or co-inventor. The failure to name the proper inventors on a patent application can result in the patents issuing thereon being unenforceable. Inventorship disputes may arise from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0" w:name="page51"/>
    <w:bookmarkEnd w:id="50"/>
    <w:p>
      <w:pPr>
        <w:spacing w:after="0" w:line="255" w:lineRule="auto"/>
        <w:rPr>
          <w:sz w:val="20"/>
          <w:szCs w:val="20"/>
          <w:color w:val="auto"/>
        </w:rPr>
      </w:pPr>
      <w:r>
        <w:rPr>
          <w:rFonts w:ascii="Times New Roman" w:cs="Times New Roman" w:eastAsia="Times New Roman" w:hAnsi="Times New Roman"/>
          <w:sz w:val="18"/>
          <w:szCs w:val="18"/>
          <w:color w:val="auto"/>
        </w:rPr>
        <w:t>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as the United States government, such that these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adversely affect our competitive position, business, financial condition, results of operations, and prospects.</w:t>
      </w:r>
    </w:p>
    <w:p>
      <w:pPr>
        <w:spacing w:after="0" w:line="18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conception or development of intellectual property to execute agreements assigning such intellectual property to us, it may be unsuccessful in executing such an agreement with each party who, in fact, conceives or develops intellectual property that we regard as our own. The assignment of intellectual property rights may not be self-executing, or the assignment agreements may be breached or challenged,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spacing w:after="0" w:line="29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it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technologies or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technologies, or product candidates, which could adversely affect our business, financial condition, results of operations and prospects. Even if we are successful in defending against such claims, litigation could result in substantial costs and be a distraction to management.</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we may in the future be subject to claims by former employees, consultants or other third parties asserting an ownership right in our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technologies and product candidates. Such challenges may also result in our inability to develop, manufacture or commercialize our technologies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technologies and product candidates. Any of the foregoing could adversely affect our business, financial condition, results of operations and prospects.</w:t>
      </w:r>
    </w:p>
    <w:p>
      <w:pPr>
        <w:spacing w:after="0" w:line="29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other intellectual property, which could be expensive, time-consuming and unsuccessful.</w:t>
      </w:r>
    </w:p>
    <w:p>
      <w:pPr>
        <w:spacing w:after="0" w:line="5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Competitors or other third parties may infringe our patents or trademarks or misappropriate or violate our other intellectual property rights. To counter infringement, misappropriation or unauthorized use, we or any future licensors may be required to file infringement or misappropriation claims, which can be expensive and time consuming and divert the time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1" w:name="page52"/>
    <w:bookmarkEnd w:id="51"/>
    <w:p>
      <w:pPr>
        <w:spacing w:after="0" w:line="252" w:lineRule="auto"/>
        <w:rPr>
          <w:sz w:val="20"/>
          <w:szCs w:val="20"/>
          <w:color w:val="auto"/>
        </w:rPr>
      </w:pPr>
      <w:r>
        <w:rPr>
          <w:rFonts w:ascii="Times New Roman" w:cs="Times New Roman" w:eastAsia="Times New Roman" w:hAnsi="Times New Roman"/>
          <w:sz w:val="18"/>
          <w:szCs w:val="18"/>
          <w:color w:val="auto"/>
        </w:rPr>
        <w:t>attention of our management and scientific personnel. We or any future licensors’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infringed their patents, in addition to counterclaims asserting that our patents or any future licensors’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insufficient written description, obviousness-type double patenting,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 or any future licensors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or any future licensors’ patent claims do not cover the invention, or decide that the other party’s use of our or any future licensors’ patented technology falls under the safe harbor to patent infringement under 35 U.S.C. §271(e)(1). An adverse outcome in a litigation or proceeding involving our or any future licensors’ patents could limit our ability to assert our or any future licensors’ patents against those parties or other competitors and may curtail or preclude our ability to exclude third parties from making and selling similar or competitive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9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it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29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third-party claims of intellectual property infringement, misappropriation or violation, which may prevent or delay our product discovery and development efforts.</w:t>
      </w:r>
    </w:p>
    <w:p>
      <w:pPr>
        <w:spacing w:after="0" w:line="5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us avoiding infringement of the patents or trademarks and misappropriation or violation of other proprietary rights of third parties. There is a substantial amount of litigation involving the infringement of patents or trademarks and misappropriation or violation of other intellectual property rights in the biotechnology and pharmaceutical industries. We may be exposed to, or threatened with, future litigation by third parties having patent, trademark or other intellectual property rights and who allege that our product candidates, uses and/or other proprietary technologies infringe their patents or trademarks or misappropriate or violate their other intellectual property rights. Numerous United States and foreign issued patents and pending patent applications, which are owned by third parties, exist in the fields in which we are developing our product candidates. As the biotechnology and pharmaceutical industries expand and more patents are issued, the risk that our product candidates may give rise to claims of infringement of the patent rights of others increases. Moreover, it is not always clear to industry participants, including us, which patents exist which may be found to cover various types of drugs, products or their methods of use or manufacture. Thus, because of the large number of patents issued and patent applications currently pending in our fields, there may be a risk that third parties may allege they have patent rights which are infringed by our product candidates, technologies or methods.</w:t>
      </w:r>
    </w:p>
    <w:p>
      <w:pPr>
        <w:spacing w:after="0" w:line="19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If a third party alleges that we infringed its patents or trademarks or misappropriate or violate its other intellectual property rights, we may face a number of issues, including, but not limited to:</w:t>
      </w:r>
    </w:p>
    <w:p>
      <w:pPr>
        <w:spacing w:after="0" w:line="54" w:lineRule="exact"/>
        <w:rPr>
          <w:sz w:val="20"/>
          <w:szCs w:val="20"/>
          <w:color w:val="auto"/>
        </w:rPr>
      </w:pPr>
    </w:p>
    <w:p>
      <w:pPr>
        <w:ind w:left="1020" w:right="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and trademark infringement and other intellectual property misappropriation or violation which, regardless of merit, may be expensive and time-consuming to litigate and may divert our management’s attention from our core business;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violation, which we may have to pay if a court decides that the product candidate or technology at issue infringes on, misappropriates or violates the third-party’s rights;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ind w:left="1020" w:right="3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injunction prohibiting us from manufacturing, marketing or selling our product candidates, or from using our proprietary technologies, unless the third party agrees to license its patent rights to us;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 license is available from a third party, we may have to pay substantial royalties, upfront fees and other amounts, and/or grant cross-licenses to intellectual property rights protecting our product candidates or processes; and</w:t>
      </w:r>
    </w:p>
    <w:p>
      <w:pPr>
        <w:spacing w:after="0" w:line="53" w:lineRule="exact"/>
        <w:rPr>
          <w:rFonts w:ascii="Times New Roman" w:cs="Times New Roman" w:eastAsia="Times New Roman" w:hAnsi="Times New Roman"/>
          <w:sz w:val="18"/>
          <w:szCs w:val="18"/>
          <w:color w:val="auto"/>
        </w:rPr>
      </w:pPr>
    </w:p>
    <w:p>
      <w:pPr>
        <w:ind w:left="1020" w:right="5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try to redesign our product candidates or processes so they do not infringe third-party patents or trademarks or misappropriate or violate other third party intellectual property rights, an undertaking which may not be possible or which may require substantial monetary expenditures and time.</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Generally, conducting preclinical and clinical trials and other development activities in the United States is not considered an act of infringement. While we may believe that patent claims or other intellectual property rights of a third party would not have a materially adverse effect on the commercialization of our product candidates, we may be incorrect in this belief, or we may not be able to prove it in litigation. In this regard, patents issued in the United States by law enjoy a presumption of validity that can be rebutted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product candidates. Patent applications can take many years to issue. There may be currently pending patent applications which may later result in issued patents that may be infringed by our product candidates. Moreover, we may fail to identify relevant patents or incorrectly conclude that a patent is invalid, not enforceable, exhausted, or not infringed by its activities. If any third-party patents, held now or obtained in the future by a third party, were found by a court of competent jurisdiction to cover the manufacturing process of our product candidates, the holders of any such patents may be able to block our ability to commercialize the product candidate unless we obtain a license under the applicable patents, or until such patents expire or they are finally determined to be held invalid or unenforceable. Similarly, if any third-party patent were held by a court of competent jurisdiction to cover any aspect of our formulations, any combination therapies or patient selection methods, the holders of any such patent may be able to block our ability to develop and commercialize the product candidate unless we obtain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9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which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its proprietary know-how. If a competitor independently develops a technology that we protect as 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spacing w:after="0" w:line="254" w:lineRule="auto"/>
        <w:rPr>
          <w:sz w:val="20"/>
          <w:szCs w:val="20"/>
          <w:color w:val="auto"/>
        </w:rPr>
      </w:pPr>
      <w:r>
        <w:rPr>
          <w:rFonts w:ascii="Times New Roman" w:cs="Times New Roman" w:eastAsia="Times New Roman" w:hAnsi="Times New Roman"/>
          <w:sz w:val="18"/>
          <w:szCs w:val="18"/>
          <w:color w:val="auto"/>
        </w:rPr>
        <w:t>trade secret and files a patent application on that technology, then we may not be able to patent that technology in the future, may require a license from the competitor to use its own know-how, and if the license is not available on commercially viable terms, then we may not be able to launch our product candidate. Additionally, trade secrets can be difficult to protect and some courts inside and outside the United States are less willing or unwilling to protect trade secrets. The laws of some foreign countries do not protect proprietary rights to the same extent or in the same manner as the laws within the United States.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18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Monitoring unauthorized disclosure and detection of unauthorized disclosure is difficult, and we do not know whether the steps we have taken to prevent such disclosure are, or will be, adequate. If we were to enforce a claim that a third party had illegally obtained and was using our trade secrets, it would be expensive and time-consuming, and the outcome would be unpredictable. These lawsuits may consume our time and other resources even if we are successful. For example, significant elements of our products, including confidential aspects of sample preparation, methods of manufacturing, cell culturing conditions, computational-biological algorithms, and related processes and software, are based on unpatented trade secrets.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If our trade secrets are not adequately protected, our business, financial condition, results of operations and prospects could be adversely affected.</w:t>
      </w:r>
    </w:p>
    <w:p>
      <w:pPr>
        <w:spacing w:after="0" w:line="29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or consultants have wrongfully used or disclosed confidential information of our competitors or are in breach of non-competition or non-solicitation agreements with our competitors. These claims may be costly to defend and if we do not successfully do so, it may be required to pay monetary damages and may lose valuable intellectual property rights or personnel.</w:t>
      </w:r>
    </w:p>
    <w:p>
      <w:pPr>
        <w:spacing w:after="0" w:line="67"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and engage the services of consultants who previously worked for or are concurrently employed at universities or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A loss of key research personnel or their work product could hamper our ability to develop and commercialize, or prevent us from developing and commercializing, our product candidates, which could severely harm our business.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Uncertainties resulting from the initiation and continuation of patent litigation or other intellectual property related proceedings could adversely affect our ability to compete in the marketplace.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secure first-tier technologies when competing against other companies or investors.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future success may require that we acquire patent rights and know-how to new or complementary technologies. However, we compete with a substantial number of other companies that may also compete for technologies we desire. In addition, many venture capital firms and other institutional investors, as well as other biotechnology companies, invest in companies seeking to commercialize various types of emerging technologies. Many of these companies have greater financial, scientific and commercial resources than us. Therefore, we may not be able to secure the technologies we desire. Furthermore, should any commercial undertaking by us prove to be successful, there can be no assurance competitors with greater financial resources will not offer competitive products and/or technologies.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future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9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Numerous factors may limit any potential competitive advantage provided by our intellectual property rights.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factors that may limit any potential competitive advantage provided by our intellectual property rights include:</w:t>
      </w:r>
    </w:p>
    <w:p>
      <w:pPr>
        <w:spacing w:after="0" w:line="75"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we may file or license may not lead to issued patents;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own or license, may not provide us with any competitive advantages, or may be challenged and held invalid or unenforceable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that is similar to our technology or aspects of our technology but that is not covered by the claims of any of our owned or in-licensed patents, should any such patents issue;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make the inventions covered by a pending patent application that we own or license;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file patent applications covering a particular invention;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our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5" w:name="page56"/>
    <w:bookmarkEnd w:id="55"/>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and results of operation.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other comparable foreign regulatory authorities are lengthy, time-consuming and inherently unpredictable. If we are not able to obtain, or if there are delays in obtaining, required regulatory approvals for our product candidates, we will not be able to commercialize, or will be delayed in commercializing, such product candidates, and our ability to generate revenue will be materially impaired.</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We cannot commercialize product candidates in the U.S. without first obtaining regulatory approval from the FDA. Similarly, we cannot commercialize product candidates outside of the U.S. without obtaining regulatory approval from comparable foreign regulatory authorities. Before obtaining regulatory approvals for the commercial sale of our product candidates, including our most advanced product candidate, bempikibart, we must demonstrate through lengthy, complex and expensive preclinical and clinical trials that such product candidates are both safe and effective for each targeted indication. Securing regulatory approval also requires the submission of information about the drug manufacturing process to, and inspection of manufacturing facilities by, the relevant regulatory authority. Further, a product candidate may not be effective, may be only moderately effective or may prove to have undesirable or unintended side effects, toxicities or other characteristics that may preclude our obtaining marketing approval. The FDA and comparable foreign regulatory authorities have substantial discretion in the approval process and may refuse to accept any application or may decide that our data are insufficient for approval and require additional preclinical, clinical or other data. A product candidate could be delayed in receiving, or fail to receive, regulatory approval for many reasons, including:</w:t>
      </w:r>
    </w:p>
    <w:p>
      <w:pPr>
        <w:spacing w:after="0" w:line="82"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our proposed indication;</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individuals using drugs similar to a product candidate, which may result in inquiries from or actions by regulatory authorities to address such events;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candidate’s clinical and other benefits outweigh our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a product candidate may not be acceptable or sufficient to support the submission of a Biologics License Application (“BLA”), a new drug application (“NDA”), or similar marketing application to obtain regulatory approval in the U.S. or elsewhere, and we may be required to conduct additional clinical trials;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authority may disagree regarding the formulation, labeling and/or the specifications of a product candidate;</w:t>
      </w:r>
    </w:p>
    <w:p>
      <w:pPr>
        <w:spacing w:after="0" w:line="53" w:lineRule="exact"/>
        <w:rPr>
          <w:rFonts w:ascii="Times New Roman" w:cs="Times New Roman" w:eastAsia="Times New Roman" w:hAnsi="Times New Roman"/>
          <w:sz w:val="18"/>
          <w:szCs w:val="18"/>
          <w:color w:val="auto"/>
        </w:rPr>
      </w:pPr>
    </w:p>
    <w:p>
      <w:pPr>
        <w:ind w:left="1020" w:right="9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may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us failing to obtain regulatory approval to market bempikibart or other product candidates, which would significantly harm our business, results of operations and prospects. The FDA’s and other regulatory authorities’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spacing w:after="0" w:line="253" w:lineRule="auto"/>
        <w:rPr>
          <w:sz w:val="20"/>
          <w:szCs w:val="20"/>
          <w:color w:val="auto"/>
        </w:rPr>
      </w:pPr>
      <w:r>
        <w:rPr>
          <w:rFonts w:ascii="Times New Roman" w:cs="Times New Roman" w:eastAsia="Times New Roman" w:hAnsi="Times New Roman"/>
          <w:sz w:val="18"/>
          <w:szCs w:val="18"/>
          <w:color w:val="auto"/>
        </w:rPr>
        <w:t>policies may change and additional government regulations may be enacted that could prevent, limit or delay regulatory approval of our product candidates. For example, the U.S. Supreme Court’s July 2024 decision to overturn prior established case law giving deference to regulatory agencies’ decisions and interpretations of ambiguous statutory language has introduced uncertainty regarding the extent to which the FDA’s regulations, policies and decisions may become subject to increasing legal challenges, delays, and/or changes. The U.S. Supreme Court stripped federal agencies of this presumptive deference and held that courts must exercise their independent judgment when deciding whether an agency such as the FDA acted within its statutory authority under the Administrative Procedure Act (the “APA”). Decisions such as this could introduce additional uncertainty into the regulatory process and may result in additional legal challenges to actions taken by federal regulatory agencies, including the FDA and CMS, that we rely on. In addition to potential changes to regulations as a result of legal challenges, these decisions may result in increased regulatory uncertainty and delays and other impacts, any of which could adversely impact our business and operations.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9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If we were to obtain approval, regulatory authorities may approve any such product candidate for fewer or more limited indications than we request,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we are not able to obtain, or if there are delays in obtaining, required regulatory approvals for a product candidate, we will not be able to commercialize, or will be delayed in commercializing, such product candidate and our ability to generate revenue may be materially impaired.</w:t>
      </w:r>
    </w:p>
    <w:p>
      <w:pPr>
        <w:spacing w:after="0" w:line="29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or other disruptions to the operations of, the FDA, the SEC, the National Institute of Health (“NIH”), and other government agencies, including from government shutdowns could hinder our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current U.S. administration is focused on reducing costs of the federal government generally, including significantly reducing the number of government employees at various federal agencies, including the FDA. Currently, most federal agencies in the U.S. are funded through September 30, 2026. Without appropriation of additional funding to federal agencies, our business operations related to our product development activities for the U.S. market could be impacted. The ability of the FDA to review and approve regulatory submissions and NIH’s ability to conduct and partner with industry on important research can be affected by a variety of factors, including government budget and funding levels, the ability to hire and retain key personnel and accept the payment of user fees, layoffs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9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federal agencies, including substantial leadership departures, personnel cuts, and policy changes, may also slow the time necessary for new drugs to be reviewed and/or approved, which would harm our business. Changes and cuts in FDA staffing have been reported by some within the pharmaceutical industry as creating instances of delays in the FDA’s responsiveness or in its ability to review IND submissions or applications, issue regulations or guidance, or implement or enforce regulatory requirements in a timely fashion.</w:t>
      </w:r>
    </w:p>
    <w:p>
      <w:pPr>
        <w:spacing w:after="0" w:line="180"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it could significantly impact the ability of the FDA to timely review and process regulatory submissions, which could have a material adverse effect on our business. Further, future government shutdowns could impact our ability to access the public markets and obtain necessary capital to properly capitalize and continue our operations.</w:t>
      </w:r>
    </w:p>
    <w:p>
      <w:pPr>
        <w:spacing w:after="0" w:line="17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With the change in the U.S. presidential administration in 2025, there have been numerous legislative changes and there continues to be substantial uncertainty as to the extent and manner in which the Trump administration will continue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current administration could issue or promulgate executive orders, regulations, policies or guidance that adversely affect us or create a more challenging or costly environment to pursue the development of new therapeutic candidates. Also, state governments may seek to address or react to changes at the federal level with changes to their regulatory frameworks in a manner that could impact our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meet requirements for the chemistry, manufacturing and control of our product candidates.</w:t>
      </w:r>
    </w:p>
    <w:p>
      <w:pPr>
        <w:spacing w:after="0" w:line="121" w:lineRule="exact"/>
        <w:rPr>
          <w:sz w:val="20"/>
          <w:szCs w:val="20"/>
          <w:color w:val="auto"/>
        </w:rPr>
      </w:pPr>
    </w:p>
    <w:p>
      <w:pPr>
        <w:ind w:right="400" w:firstLine="509"/>
        <w:spacing w:after="0" w:line="256" w:lineRule="auto"/>
        <w:rPr>
          <w:sz w:val="20"/>
          <w:szCs w:val="20"/>
          <w:color w:val="auto"/>
        </w:rPr>
      </w:pPr>
      <w:r>
        <w:rPr>
          <w:rFonts w:ascii="Times New Roman" w:cs="Times New Roman" w:eastAsia="Times New Roman" w:hAnsi="Times New Roman"/>
          <w:sz w:val="18"/>
          <w:szCs w:val="18"/>
          <w:color w:val="auto"/>
        </w:rPr>
        <w:t>In order to receive approval of our products by the FDA and comparable foreign regulatory authorities, we must show that we and our contract manufacturing partners are able to characterize, control and manufacture our drug and biologic products safely and in accordance with regulatory requirements. This includes synthesizing the active ingredient, developing an acceptable formulation, performing tests to adequately characterize the formulated product, documenting a repeatable manufacturing process and demonstrating that our products meet stability requirements. Meeting these chemistry, manufacturing and control (“CMC”) requirements is a complex task that requires specialized expertise. If we are not able to meet the CMC requirements, we may not be successful in advancing our clinical studies or obtaining regulatory approvals for our product candidates.</w:t>
      </w:r>
    </w:p>
    <w:p>
      <w:pPr>
        <w:spacing w:after="0" w:line="2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may in the future conduct clinical trials for our product candidates at sites outside the U.S., and the FDA may not accept data from trials conducted in such locations.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conducted and may in the future choose to conduct clinical trials for our product candidates outside the U.S. Although the FDA may accept data from clinical trials conducted outside the U.S., acceptance of this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U.S., it would likely result in the need for additional trials, which would be costly and time-consuming and would delay or permanently halt our development of the applicable product candidates. Even if the FDA accepted such data, it could require us to modify our planned clinical trials to receive clearance to initiate such trials in the U.S. or to continue such trials once initiated. Additionally, recent policy proposals in the U.S., if enacted in the future, may make acceptance by the FDA or inclusion in a marketing application of foreign data more difficult or costly.</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risks inherent in conducting international clinical trials include:</w:t>
      </w:r>
    </w:p>
    <w:p>
      <w:pPr>
        <w:spacing w:after="0" w:line="117" w:lineRule="exact"/>
        <w:rPr>
          <w:sz w:val="20"/>
          <w:szCs w:val="20"/>
          <w:color w:val="auto"/>
        </w:rPr>
      </w:pPr>
    </w:p>
    <w:p>
      <w:pPr>
        <w:ind w:left="1020" w:right="3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comply with foreign regulatory requirements, differences in healthcare services, and differences in cultural customs that could restrict or limit our ability to conduct our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burdens of conducting clinical trials under multiple sets of foreign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risks relevant to foreign countries.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for which we intend to seek approval as biologics may face competition sooner than anticipated.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was enacted as part of the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19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investigational biological products, if approved, could be considered reference products entitled to the 12-year period of exclusivity. However, there is a risk that this exclusivity could be shortened due to congressional action or otherwise, or that the FDA will not consider a product candidate to be reference products for competing products, potentially creating the opportunity for competition sooner than anticipated. Other aspects of the BPCIA, some of which may impact the BPCIA exclusivity provisions, have also been the subject of litigation. The approval of a biosimilar of any of our product candidates could have a material adverse impact on our business due to increased competition and pricing pressure.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8" w:name="page59"/>
    <w:bookmarkEnd w:id="58"/>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bempikibart or other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Any regulatory approvals that we may receive for bempikibart or other product candidates will require the submission of reports to regulatory authorities and surveillance to monitor the safety and efficacy of such product candidates,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a product candidate, which could entail requirements for a medication guide, physician training and communication plans or additional elements to ensure safe use, such as restricted distribution methods, patient registries and other risk minimization tools. In addition, if the FDA or comparable foreign regulatory authorities approve a product candidate, the products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U.S. and by comparable foreign regulatory authorities. These requirements include submissions of safety and other post-marketing information and reports, registration, as well as ongoing compliance with cGMPs and GCPs for any clinical trials that we conduct following approval. In addition, manufacturers of drug substances and products and their facilities are subject to continual review and periodic, unannounced inspections by the FDA and other regulatory authorities for compliance with cGMPs.</w:t>
      </w:r>
    </w:p>
    <w:p>
      <w:pPr>
        <w:spacing w:after="0" w:line="190"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If we or a regulatory authority discovers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restrictions on our ability to conduct clinical trials, including full or partial clinical holds on ongoing or planned trials,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 The occurrence of any event or penalty described above may inhibit our ability to commercialize bempikibart or other product candidates and generate revenue and could require us to expend significant time and resources in response and could generate negative publicity.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from healthcare legislative reform measures.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bempikibart or other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See the section titled “</w:t>
      </w:r>
      <w:r>
        <w:rPr>
          <w:rFonts w:ascii="Times New Roman" w:cs="Times New Roman" w:eastAsia="Times New Roman" w:hAnsi="Times New Roman"/>
          <w:sz w:val="18"/>
          <w:szCs w:val="18"/>
          <w:i w:val="1"/>
          <w:iCs w:val="1"/>
          <w:color w:val="auto"/>
        </w:rPr>
        <w:t>Business-Government Regulation-Healthcare Reform</w:t>
      </w:r>
      <w:r>
        <w:rPr>
          <w:rFonts w:ascii="Times New Roman" w:cs="Times New Roman" w:eastAsia="Times New Roman" w:hAnsi="Times New Roman"/>
          <w:sz w:val="18"/>
          <w:szCs w:val="18"/>
          <w:color w:val="auto"/>
        </w:rPr>
        <w:t>” elsewhere in this Annual Report on Form 10-K for a more detailed description of healthcare reforms measures that may prevent us from being able to generate revenue, attain profitability, or commercialize product candidates.</w:t>
      </w:r>
    </w:p>
    <w:p>
      <w:pPr>
        <w:spacing w:after="0" w:line="18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For example, the OBBBA enacted significant Medicaid reforms, including approximately $1 trillion in federal spending reductions through 2034. Among other provisions, the legislation imposes work requirements for certain adult Medicaid enrollees, mandates more frequent eligibility redeterminations, and authorizes increased cost-sharing obligations for beneficiaries. These changes are expected to reduce overall Medicaid enrollment and limit access to care. Although the precise impact on our business is not yet clear, any reduction in the number of covered patients or reimbursement levels for our products could adversely affect our future revenue and commercial prospects.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9" w:name="page60"/>
    <w:bookmarkEnd w:id="59"/>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Recent CMS proposals, including the GLOBE, GUARD, and GENEROUS, could materially impact the Company’s revenue. The implementation of cost containment measures or other healthcare reforms may prevent us from being able to generate revenue, attain profitability or commercialize our products.</w:t>
      </w:r>
    </w:p>
    <w:p>
      <w:pPr>
        <w:spacing w:after="0" w:line="28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arrangements with investigators, healthcare professionals, consultants, third-party payors, patient organizations and customers will be subject to applicable healthcare regulatory laws, which could expose us to penalties.</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fraud and abuse and other healthcare laws and regulations. These laws may constrain the business or financial arrangements and relationships through which we conduct our operations, including how we research, market, sell and distribute our product candidates, if approved. See the section titled “</w:t>
      </w:r>
      <w:r>
        <w:rPr>
          <w:rFonts w:ascii="Times New Roman" w:cs="Times New Roman" w:eastAsia="Times New Roman" w:hAnsi="Times New Roman"/>
          <w:sz w:val="18"/>
          <w:szCs w:val="18"/>
          <w:i w:val="1"/>
          <w:iCs w:val="1"/>
          <w:color w:val="auto"/>
        </w:rPr>
        <w:t>Business-Government Regulation-Other Healthcare Laws and Compliance Requirements</w:t>
      </w:r>
      <w:r>
        <w:rPr>
          <w:rFonts w:ascii="Times New Roman" w:cs="Times New Roman" w:eastAsia="Times New Roman" w:hAnsi="Times New Roman"/>
          <w:sz w:val="18"/>
          <w:szCs w:val="18"/>
          <w:color w:val="auto"/>
        </w:rPr>
        <w:t>” elsewhere in this Annual Report on Form 10-K for a more detailed description of the laws that may affect our ability to operate.</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If our operations are found to be in violation of any of these laws or any other governmental laws and regulations that may apply to it, we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our operations. Further, defending against any such actions can be costly and time-consuming and may require significant personnel resources. Therefore, even if we are successful in defending against any such actions that may be brought against us, our business may be impaired.</w:t>
      </w:r>
    </w:p>
    <w:p>
      <w:pPr>
        <w:spacing w:after="0" w:line="2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bempikibart or other product candidates, due to unfavorable pricing regulations and/or third-party coverage and reimbursement policies, we may not be able to offer such products at competitive prices which would seriously harm our business.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intend to seek approval to market bempikibart and other product candidates in both the U.S. and in selected foreign jurisdictions. If we obtain approval in one or more foreign jurisdictions for such product candidates, we will be subject to rules and regulations in those jurisdictions. Our ability to successfully commercialize any product candidates that we may develop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Government authorities and other third-party payors have attempted to control costs by limiting coverage and the amount of reimbursement for medications. These entities may create preferential access policies for a competitor’s product, including a branded or generic/biosimilar product, over our products in an attempt to reduce their costs, which may reduce our commercial opportunity. Additionally, if any of our product candidates are approved and we are found to have improperly promoted off-label uses of those programs, we may become subject to significant liability, which would materially adversely affect our business and financial condition. See the sections titled “</w:t>
      </w:r>
      <w:r>
        <w:rPr>
          <w:rFonts w:ascii="Times New Roman" w:cs="Times New Roman" w:eastAsia="Times New Roman" w:hAnsi="Times New Roman"/>
          <w:sz w:val="18"/>
          <w:szCs w:val="18"/>
          <w:i w:val="1"/>
          <w:iCs w:val="1"/>
          <w:color w:val="auto"/>
        </w:rPr>
        <w:t>Business-Government Regulation-Coverage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Reimbursement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-Regulation in the EU</w:t>
      </w:r>
      <w:r>
        <w:rPr>
          <w:rFonts w:ascii="Times New Roman" w:cs="Times New Roman" w:eastAsia="Times New Roman" w:hAnsi="Times New Roman"/>
          <w:sz w:val="18"/>
          <w:szCs w:val="18"/>
          <w:color w:val="auto"/>
        </w:rPr>
        <w:t>” elsewhere in this Annual Report on Form 10-K for a more detailed description of the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and third-party payor practices that may affect our ability to commercialize our product candidates.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products outside the U.S.,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tend to impose strict price controls, which may adversely affect our revenue, if any.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some countries, particularly Member States of the EU, the pricing of prescription drugs is subject to governmental control. In these countries, pricing negotiations with governmental authorities can take considerable time after receipt of marketing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Member States and parallel distribution, or arbitrage between low-priced and high-priced Member States, can further reduce prices. To obtain coverage and reimbursement or pricing approvals in some countries, we or current or future collaborators may be required to conduct a clinical trial or other studies that compare the cost-effectiveness of a product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approved for marketing is unavailable or limited in scope or amount, or if pricing is set at unsatisfactory levels, our business, financial condition, results of operations or prospects could be materially and adversely affected.</w:t>
      </w:r>
    </w:p>
    <w:p>
      <w:pPr>
        <w:spacing w:after="0" w:line="29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may seek one or more designations or expedited programs for our product candidates, but may not receive such designations or be allowed to proceed on expedited program pathways, and even with the fast track designation (“FTD”) we received for bempikibart or may receive for another product candidate in the future, such designations or expedited programs may not lead to a faster development or regulatory review or approval process, and each designation does not increase the likelihood that any of our product candidates will receive regulatory approval in the U.S.</w:t>
      </w:r>
    </w:p>
    <w:p>
      <w:pPr>
        <w:spacing w:after="0" w:line="5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April 2025, we received FTD for bempikibart for the treatment of AA. In the future, we may seek FTD for other product candidates, where applicable. If a drug is intended for the treatment of a serious or life-threatening condition and nonclinical or clinical data for the drug demonstrates the potential to address an unmet medical need for such a condition, the drug sponsor may apply for FTD. The FDA has broad discretion whether to grant this designation, so even if we believe a particular product candidate is eligible for this designation, we cannot provide assurance that the FDA would decide to grant this designation. Even with the FTD granted to bempikibart or that may be granted to any other product candidate, as applicable, bempikibart or other product candidates may not experience a faster development process, review or approval compared to conventional FDA procedures. The FDA may withdraw FTD if it believes that the designation is no longer supported by data from the clinical development program. FTD alone does not guarantee qualification for the FDA’s priority review procedures.</w:t>
      </w:r>
    </w:p>
    <w:p>
      <w:pPr>
        <w:spacing w:after="0" w:line="19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1" w:name="page62"/>
    <w:bookmarkEnd w:id="61"/>
    <w:p>
      <w:pPr>
        <w:ind w:right="80"/>
        <w:spacing w:after="0" w:line="258" w:lineRule="auto"/>
        <w:rPr>
          <w:sz w:val="20"/>
          <w:szCs w:val="20"/>
          <w:color w:val="auto"/>
        </w:rPr>
      </w:pPr>
      <w:r>
        <w:rPr>
          <w:rFonts w:ascii="Times New Roman" w:cs="Times New Roman" w:eastAsia="Times New Roman" w:hAnsi="Times New Roman"/>
          <w:sz w:val="18"/>
          <w:szCs w:val="18"/>
          <w:color w:val="auto"/>
        </w:rPr>
        <w:t>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for FDA review or approval will not be shortened.</w:t>
      </w:r>
    </w:p>
    <w:p>
      <w:pPr>
        <w:spacing w:after="0" w:line="183"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In the future, we may also seek approval of product candidates under the FDA’s accelerated approval pathway. A product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trials to verify and describe the drug’s clinical benefit. Under the Food and Drug Omnibus Reform Act of 2022 (“FDORA”), the FDA is permitted to require, as appropriate, that a post-approval confirmatory trial or trials be underway prior to approval or within a specified time after the date of accelerated approval was granted. FDORA also requires sponsors to send updates to the FDA every 180 days on the status of such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trials in a timely manner, send the necessary updates to the FDA, or if such post-approval trials fail to verify the drug’s predicted clinical benefit. Under FDORA, the FDA is empowered to act, such as issuing fines, against companies that fail to conduct with due diligence any post-approval confirmatory trial or submit timely reports to the agency on their progress. In addition, for products being considered for accelerated approval, the FDA generally requires, unless otherwise informed by the Agency, that all advertising and promotional materials intended for dissemination or publication within 120 days of regulatory approval be submitted to the Agency for review during the pre-approval review period. Thus, even if we seek to utilize the accelerated approval pathway, we may not be able to obtain accelerated approval and, even if we do, we may not experience a faster development, regulatory review or approval process for that product. Moreover, even if we received accelerated approval, any post-approval trials required to confirm and verify clinical benefit may not show such benefit, which could lead to withdrawal of any approvals we have obtained. In addition, receiving accelerated approval does not assure that the product’s accelerated approval will eventually be converted to a traditional approval.</w:t>
      </w:r>
    </w:p>
    <w:p>
      <w:pPr>
        <w:spacing w:after="0" w:line="20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29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pursue orphan drug designation for certain of our product candidates, but may not be able to obtain such designation, or obtain or maintain the benefits of such designation including orphan drug exclusivity, and even if we do obtain orphan designation for our product candidates, any orphan drug exclusivity it receives may not prevent regulatory authorities from approving other competing products.</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may seek orphan drug designation for some of our product candidates; however, we may never receive such designation. Under the Orphan Drug Act, the FDA may designate a product as an orphan drug if it is a drug or biologic intended to treat a rare disease or condition, defined as a patient population of fewer than 200,000 in the U.S., or a patient population of 200,000 or more in the U.S. where there is no reasonable expectation that the cost of developing the drug will be recovered from sales in the U.S. Orphan drug designation must be requested before submitting an NDA or a BLA. A similar regulatory scheme governs orphan products in the EU.</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2" w:name="page63"/>
    <w:bookmarkEnd w:id="62"/>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 In addition, if a product candidate with an orphan drug designation subsequently receives the first regulatory approval for the indication for which it has such designation, the product is entitled to a period of marketing exclusivity, which precludes the FDA from approving another marketing application for the same product for the same therapeutic indication for seven years.</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different products can be approved for the same approved use or condition. In addition, even after an orphan drug is approved, the FDA can subsequently approve the same product for the same approved use or condition if the FDA concludes that the later product is clinically superior in that it is shown to be safer, more effective or makes a major contribution to patient care. Orphan drug exclusivity may also be lost if the FDA determines that the request for designation was materially defective or if the manufacturer is unable to assure sufficient quantity of the product to meet the needs of the patients with the rare disease or condition. Further, even if we obtain orphan drug designation, we may not be the first to obtain regulatory approval for any indication due to the uncertainties associated with developing pharmaceutical products.</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FDA may further reevaluate the Orphan Drug Act and its regulations and policies. Additionally, legislation has been proposed by the European Commission that, if implemented, has the potential in some cases to shorten the ten-year period of orphan marketing exclusivity. It is unclear if, when, or how the FDA or other regulatory authorities may change the orphan drug regulations and policies in the future, and it is uncertain how any changes might affect our business. Depending on what changes the FDA or other regulatory authorities may make to their orphan drug regulations and policies, our business could be adversely impacted.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Third Party Relationships</w:t>
      </w:r>
    </w:p>
    <w:p>
      <w:pPr>
        <w:spacing w:after="0" w:line="11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rely on third parties in the future to conduct our clinical trials and some aspects of our research, as well as some aspects of our delivery methods, and those third parties may not perform satisfactorily, including failing to meet deadlines for the completion of such trials, research or testing.</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currently, and expect to continue to, rely on third parties, such as but not limited to CROs, clinical data management organizations, medical institutions, preclinical laboratories and clinical investigators, to conduct some aspects of our research. For example, we may rely on a third party to supply components of our product candidates, or to conduct some of our preclinical animal experiments. Any of these third parties may terminate their engagements with us at any time under certain criteria. If we need to enter into alternative arrangements, it may delay our product research and development activities.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preclinical studies and clinical trials is conducted in accordance with the general investigational plan and protocols. Moreover, the FDA, the EMA and other regulatory authorities require us and the study sites and investigators we work with to comply with standards, commonly referred to as GLPs and GCPs for conducting, recording and reporting the results of preclinical studies and clinical trials to assure, amongst other things, that data and reported results are credible and accurate and that the rights, integrity and confidentiality of trial participants are protected.</w:t>
      </w:r>
    </w:p>
    <w:p>
      <w:pPr>
        <w:spacing w:after="0" w:line="291"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collaborations and license agreements with third parties, including our existing license agreements with BMS and Colorado and expect to collaborate with third parties in the future. We may not be successful in finding strategic collaborators for continuing development of certain of our future product candidates or successfully commercializing or competing in the market for certain indications.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currently collaborate with third-parties with respect to bempikibart. If any of our collaborators, licensors or licensees experience delays in performance of, or fail to perform their obligations under, their applicable agreements with us, disagree with our interpretation of the terms of such agreement or terminate their agreement with us, our pipeline of product candidates would be adversely affected. If we fail to comply with any of the obligations under our collaborations or license agreements, including payment terms and diligence terms, our collaborators, licensors or licensees may have the right to terminate our agreements, in which event we may lose intellectual property rights, market or sell the products covered by such agreements or may face other penalties under such agreements. Our collaborators, licensors or licensees may also fail to properly maintain or defend the intellectual property we have licensed from them, or infringe upon other third party intellectual property rights, leading to the potential invalidation of such third party’s intellectual property or subjecting us to litigation or arbitration, any of which would be time-consuming and expensive and could harm our ability to develop or commercialize our product candidates. Further, any of these relationships may require us to increase our near and long-term expenditures, issue securities that dilute our</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3" w:name="page64"/>
    <w:bookmarkEnd w:id="63"/>
    <w:p>
      <w:pPr>
        <w:ind w:right="320"/>
        <w:spacing w:after="0" w:line="289" w:lineRule="auto"/>
        <w:rPr>
          <w:sz w:val="20"/>
          <w:szCs w:val="20"/>
          <w:color w:val="auto"/>
        </w:rPr>
      </w:pPr>
      <w:r>
        <w:rPr>
          <w:rFonts w:ascii="Times New Roman" w:cs="Times New Roman" w:eastAsia="Times New Roman" w:hAnsi="Times New Roman"/>
          <w:sz w:val="17"/>
          <w:szCs w:val="17"/>
          <w:color w:val="auto"/>
        </w:rPr>
        <w:t>existing stockholders or disrupt our management and business. In addition, 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under the agreements with us.</w:t>
      </w:r>
    </w:p>
    <w:p>
      <w:pPr>
        <w:spacing w:after="0" w:line="15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future, we may decide to collaborate with entities such as, but not limited to, non-profit organizations, universities,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several factors. Those factors may include the design or results of clinical trials, the likelihood of approval by the FDA or similar regulatory authorities outside the U.S.,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it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the market and generate product revenue.</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or strategic alliances could disrupt our business and harm our financial condition and results of operations.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79"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because of product acquisitions or strategic positioning resulting from the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ind w:left="1020" w:right="2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write-offs or charges; and</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2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anticipate that we will rely, on third parties to assist in designing, conducting, supervising and monitoring our preclinical studies and clinical trials, and if those third parties perform in an unsatisfactory manner, it may harm our business.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rely, and anticipate that we will rely, on third party clinical investigators, CROs, clinical data management organizations and consultants to help design, conduct, supervise and monitor preclinical studies and clinical trials of our product candidates. Because we rely on third parties and do not have the ability to conduct preclinical studies or clinical trials independently, we have less control over the timing, quality and other aspects of preclinical studies and clinical trials than we would if we conducted them on our own, including our inability to control whether sufficient resources are applied to our programs. If any of our CROs are acquired or consolidated, these concerns are likely to be exacerbated and our preclinical studies or clinical trials may be further impacted due to potential integration, streamlining, staffing and logistical changes.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Further, these third parties may not be diligent, careful or timely in conducting our preclinical studies or clinical trials, resulting in the preclinical studies or clinical trials being delayed or unsuccessful.</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preclinical and clinical development programs could be delayed and otherwise adversely affected. In all events, we are responsible for ensuring that each of our preclinical studies and clinical trials is conducted in accordance with the general investigational plan and protocols for the trial. The FDA and other health authorities require certain preclinical studies to be conducted in accordance with GLP, and clinical trials to be conducted in accordance with GCP, including conducting, recording and reporting the results of clinical trials to assure that data and reported results are credible and accurate and that the rights, integrity and confidentiality of clinical trial participants are protected. If we or our CROs fail to comply with these requirements, the data generated in our clinical trials may be deemed unreliable or uninterpretable and the FDA and other health authorities may require us to perform additional clinical trials. Our reliance on third parties that we do not control does not relieve us of these responsibilities and requirements. In the U.S., we are also required to register certain clinical trials and post the results of completed clinical trials on a government-sponsored database, ClinicalTrials.gov, within certain timeframes. Failure to do so can result in fines, adverse publicity and civil and criminal sanctions. Any such event could adversely affect our business, financial condition, results of operations and prospects.</w:t>
      </w:r>
    </w:p>
    <w:p>
      <w:pPr>
        <w:spacing w:after="0" w:line="29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in the supply and manufacture of our product candidates for our research, preclinical and clinical activities, and may do the same for commercial supplies of our product candidates.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have not yet manufactured our product candidates on a commercial scale and may not be able to do so for any of our product candidates. We currently rely on third parties in the supply and manufacture of materials for our research, preclinical and clinical activities and may continue to do so for the foreseeable future, including if we received regulatory approval for any product candidate. We may do the same for the commercial supply of our drug product, if any. We use third parties to perform additional steps in the manufacturing process, such as the filling, finishing and labeling of vials and storage and shipping of our product candidates and we expect to do so for the foreseeable future. There can be no assurance that our supply of research, preclinical and clinical development drug candidates and other materials will not be limited, interrupted or restricted or will be of satisfactory quality or continue to be available at acceptable prices. Replacement of any of the third parties we may engage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5" w:name="page66"/>
    <w:bookmarkEnd w:id="65"/>
    <w:p>
      <w:pPr>
        <w:ind w:right="40"/>
        <w:spacing w:after="0" w:line="256" w:lineRule="auto"/>
        <w:rPr>
          <w:sz w:val="20"/>
          <w:szCs w:val="20"/>
          <w:color w:val="auto"/>
        </w:rPr>
      </w:pPr>
      <w:r>
        <w:rPr>
          <w:rFonts w:ascii="Times New Roman" w:cs="Times New Roman" w:eastAsia="Times New Roman" w:hAnsi="Times New Roman"/>
          <w:sz w:val="18"/>
          <w:szCs w:val="18"/>
          <w:color w:val="auto"/>
        </w:rPr>
        <w:t>could require significant effort and expertise because there may be a limited number of qualified replacements. In addition, raw materials, reagents, and components used in the manufacturing process, particularly those for which we have no other source or supplier, may not be available, may not be suitable or acceptable for use due to material or component defects, or may introduce variability into the supply of our product candidates. Furthermore, with the increase of companies developing fusion protein based antibodies and/or monoclonal antibodies, there may be increased competition for the supply of the raw materials that are necessary to make our fusion protein based antibodies and/or monoclonal antibodies, which could severely impact the manufacturing of our product candidates.</w:t>
      </w:r>
    </w:p>
    <w:p>
      <w:pPr>
        <w:spacing w:after="0" w:line="187"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We may be unable to identify manufacturers on acceptable terms or at all because the number of potential manufacturers is limited, and they must be acceptable to the FDA or approved by foreign regulatory authorities. Suppliers and manufacturers, including us, must meet applicable manufacturing requirements, including compliance with cGMP regulations, and undergo rigorous facility and process validation tests required by regulatory authorities to comply with regulatory standards. In the event that any of our suppliers or manufacturers fail to comply with such requirements or to perform their obligations to us in relation to quality, timing or otherwise, some of which may be out of their or our control, or if our supply of components or other materials becomes limited or interrupted for other reasons, we may be forced to increase the manufacturing of the materials ourselves, for which we currently have limited capabilities and resources, or enter into an agreement with another third party, which we may not be able to do on reasonable terms, if at all. Any interruption of the development or operation of the manufacturing of our product candidates, such as order delays for equipment or materials, equipment malfunction, quality control and quality assurance issues, regulatory delays and possible negative effects of such delays on supply chains and expected timelines for product availability, production yield issues, shortages of qualified personnel, discontinuation of a facility or business or failure or damage to a facility resulting from natural disasters, could result in the cancellation of shipments, loss of product in the manufacturing process or a shortfall in available product candidates or materials.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 Regional or single-source dependencies may in some cases accentuate these risks. For example, the pharmaceutical industry generally, and in some cases of third parties on which we rely, depend on China-based suppliers or service producers for certain materials, products and services, or other activities. Our ability or the ability of the third parties we rely on to continue to engage these China-based suppliers or service providers for certain materials could be restricted due to geopolitical developments between the United States and China, including as a result of the escalation of tariffs or other trade restrictions.</w:t>
      </w:r>
    </w:p>
    <w:p>
      <w:pPr>
        <w:spacing w:after="0" w:line="20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we currently rely on foreign CROs and CDMOs, including WuXi Biologics, and will likely continue to rely on foreign CROs and CDMOs in the future. Foreign CDMOs may be subject to U.S. legislation, including, for example, legislation previously considered in the U.S. Congress (but not enacted) called the BIOSECURE Act, which would have prohibited the U.S. government from entering into contracts or providing grants or loans to procure biotechnology equipment and services provided or produced by so-called “biotechnology companies of concern.” It also would have prohibited the U.S. government from entering into contracts or providing grants or loans to entities that use biotechnology equipment or services provided or produced by “biotechnology companies of concern” in connection with such contracts, grants, or loans. An updated version of the BIOSECURE Act is currently being considered by Congress and, like the original version, this latest version includes a delayed implementation date to permit companies to wind down from impacted relationships. Any additional executive action, legislative action or potential sanctions with China could materially impact any Chinese vendor that we use and our agreements with them. In addition, foreign CDMOs may be subject to sanctions, tariffs, trade restrictions and other foreign regulatory requirements which could increase the cost or reduce the supply of material available to us, delay the procurement or supply of such material or have an adverse effect on our ability to manufacture our product candidates.</w:t>
      </w:r>
    </w:p>
    <w:p>
      <w:pPr>
        <w:spacing w:after="0" w:line="19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may also be required to enter into long-term manufacturing agreements that contain exclusivity provisions and/or substantial termination penalties which could have a material adverse effect on our business prior to or after commercialization of any of our product candidates. If we are unable to obtain or maintain third-party manufacturing for product candidates, or to do so on commercially reasonable terms, we may not be able to develop and commercialize our product candidates successfully. Failure to execute our manufacturing requirements, either by us or by one of our third-party vendors, could adversely affect our business.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anti-bribery and other healthcare laws and regulations, which could expose it to criminal sanctions, civil penalties, contractual damages, reputational harm, and diminished profits and future earnings.</w:t>
      </w:r>
    </w:p>
    <w:p>
      <w:pPr>
        <w:spacing w:after="0" w:line="6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third-party payors play a primary role in the recommendation and prescription of any product candidates that we may develop for which it obtains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medicines for which we obtain marketing approval. Restrictions under applicable federal and state healthcare laws and regulations listed in the section above titled “Risk Factors—Risks Related to Government Regulation,” including certain laws and regulations applicable only if we have marketed products.</w:t>
      </w:r>
    </w:p>
    <w:p>
      <w:pPr>
        <w:spacing w:after="0" w:line="18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Some state laws also require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w:t>
      </w:r>
    </w:p>
    <w:p>
      <w:pPr>
        <w:spacing w:after="0" w:line="176"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business, financial condition, results of operations, and prospects.</w:t>
      </w:r>
    </w:p>
    <w:p>
      <w:pPr>
        <w:spacing w:after="0" w:line="189" w:lineRule="exact"/>
        <w:rPr>
          <w:sz w:val="20"/>
          <w:szCs w:val="20"/>
          <w:color w:val="auto"/>
        </w:rPr>
      </w:pPr>
    </w:p>
    <w:p>
      <w:pPr>
        <w:jc w:val="both"/>
        <w:ind w:right="380" w:firstLine="509"/>
        <w:spacing w:after="0" w:line="289" w:lineRule="auto"/>
        <w:rPr>
          <w:sz w:val="20"/>
          <w:szCs w:val="20"/>
          <w:color w:val="auto"/>
        </w:rPr>
      </w:pPr>
      <w:r>
        <w:rPr>
          <w:rFonts w:ascii="Times New Roman" w:cs="Times New Roman" w:eastAsia="Times New Roman" w:hAnsi="Times New Roman"/>
          <w:sz w:val="17"/>
          <w:szCs w:val="17"/>
          <w:color w:val="auto"/>
        </w:rPr>
        <w:t>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EU Member States, such as the U.K. Bribery Act 2010. Infringement of these laws could result in substantial fines and imprisonment.</w:t>
      </w:r>
    </w:p>
    <w:p>
      <w:pPr>
        <w:spacing w:after="0" w:line="15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Personnel and Operations</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bempikibart or other product candidates in foreign markets for which we may rely on collaboration with third parties. We are not permitted to market or promote any product candidates before we receive regulatory approval from the applicable foreign regulatory authority and may never receive such regulatory approval for any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bempikibart or other product candidates, and we cannot predict success in these jurisdictions. If we fail to comply with the regulatory requirements in international markets or to receive applicable marketing approvals, our target market will be reduced and our ability to realize the full market potential of bempikibart or other product candidates will be harmed, and our business will be adversely affected. Moreover, even if we obtain approval of bempikibart or other product candidates and ultimately commercialize such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7" w:name="page68"/>
    <w:bookmarkEnd w:id="67"/>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CDMOs, suppliers and vendors acting for or on our behalf may engage in misconduct or other improper activities.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spacing w:after="0" w:line="28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any of our CROs, manufacturers, other contractors, third party service providers or consultants or potential future collaborators, may fail or suffer security incidents,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third party service providers and supply chain companies, and consultants, as well as other partners, these systems are potentially vulnerable to breakdown or other damage or interruption from service interruptions, system malfunction, natural disasters, terrorism, war and telecommunication and electrical failures, as well as security incidents and data breaches from inadvertent or intentional actions by our employees, contractors, consultants, business partners and/or other third parties, or from cyber-attacks by malicious third parties, which may compromise our system infrastructure or lead to the loss, destruction, alteration or dissemination of, or damage to, our data including the theft, fraud, and subsequent misuse of employee credentials, wrongful conduct by insider employees or vendors, denial-of-service attacks, ransomware attacks, business email compromises, computer malware, malicious codes, viruses, breakdown, wrongful intrusions, data breaches, and social engineering (including phishing attacks).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 To the extent that any disruption or security breach were to result in a loss, destruction, unavailability, alteration or dissemination of, or damage to, our data or applications, or for us to be believed or reported that any of these occurred, we could incur liability and reputational damage and the development and commercialization of bempikibart or other product candidates could be delayed.</w:t>
      </w:r>
    </w:p>
    <w:p>
      <w:pPr>
        <w:spacing w:after="0" w:line="196"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As our employees work remotely and utilize network connections, computers, and devices outside our premises or network, including working at home, while in transit and in public locations, there are risks to our information technology systems and data. Additionally, business transactions (such as acquisitions or integrations) could expose us to additional cybersecurity threats, risks and vulnerabilities, as our systems could be negatively affected by vulnerabilities present in acquired or integrated entities’ systems and technologies or threats presented by malicious third parties.</w:t>
      </w:r>
    </w:p>
    <w:p>
      <w:pPr>
        <w:spacing w:after="0" w:line="1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like other organizations in our industry, have experienced and expect to experience cybersecurity incidents and threats to our infrastructure. 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 or the failure to comply with such requirements could lead to adverse consequences.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rely on third-party service providers and technologies to operate critical business systems to process sensitive information in a variety of contexts.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8" w:name="page69"/>
    <w:bookmarkEnd w:id="68"/>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increased investigation and compliance costs; financial loss; and other similar harms. Security incidents and attendant consequences may cause stakeholders (including investors and potential customers) to stop supporting our research and development activities, deter new customers from products, and negatively impact our ability to grow and operate our business.</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or from disruptions in, or failure or security breach of, our systems or third-party systems where information important to our business operations or commercial development is stored, or that such coverage will continue to be available on commercially reasonable terms or at all, or that such coverage will pay future claims.</w:t>
      </w:r>
    </w:p>
    <w:p>
      <w:pPr>
        <w:spacing w:after="0" w:line="287"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and third parties with whom we work, are or may become subject to numerous domestic and foreign laws, regulations, and standards relating to privacy, data protection, and data security, the scope of which are changing, subject to differing applications and interpretations, and may be inconsistent among countries, or conflict with other rules. We are or may become subject to the terms of contractual obligations related to privacy, data protection, and data security. Our obligations may also change or expand as our business grows. The actual or perceived failure by us or third parties related to us to comply with such laws, regulations and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 See the sections titled “</w:t>
      </w:r>
      <w:r>
        <w:rPr>
          <w:rFonts w:ascii="Times New Roman" w:cs="Times New Roman" w:eastAsia="Times New Roman" w:hAnsi="Times New Roman"/>
          <w:sz w:val="18"/>
          <w:szCs w:val="18"/>
          <w:i w:val="1"/>
          <w:iCs w:val="1"/>
          <w:color w:val="auto"/>
        </w:rPr>
        <w:t>Business-Government Regulation-Data Privacy and Security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elsewhere in this Annual Report on Form 10-K for a more detailed description of the laws that may affect our ability to operate.</w:t>
      </w:r>
    </w:p>
    <w:p>
      <w:pPr>
        <w:spacing w:after="0" w:line="29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new and evolving technologies, such as artificial intelligence (“AI”),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spacing w:after="0" w:line="6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may use and integrate AI into our business processes both in our own development and implementation of AI and through the adoption of commercially available tools. Use of this technology could pose cybersecurity, data privacy, IT, intellectual property, regulatory, legal, operational, competitive, reputational and other risks and challenges that could affect our business. Specifically, risks related to accuracy, bias, AI hallucinations, discrimination, harmful content, misinformation, fraud, scams, targeted attacks (including model poisoning or data poisoning), surveillance, data leakage, inequality, environmental harms, and other harms may flow from our development, use, or deployment of AI technologies.</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If we enable or offer solutions that draw controversy due to perceived or actual negative societal impact, we may experience brand or reputational harm, competitive harm or legal liability. The use of certain AI technology can give rise to intellectual property risks, including by disclosing or otherwise compromising our confidential or proprietary intellectual property and intellectual property infringement, or by undermining our ability to assert or defend ownership rights in intellectual property created with the assistance of AI tools.</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 growing number of legislators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example, the EU began implementing the Artificial Intelligence Act (the “AI Act”) on August 1, 2024, with a significant part of the law scheduled to come into effect in August 2026. As currently enacted, the AI Act, which may be amended as part of the EU’s Digital Omnibus, imposes significant obligations on providers and deployers of high-risk AI systems, and encourages providers and deployers of AI systems to account for EU ethical principles in their development and use of these systems.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scope of requirements depends on judicial interpretations and forthcoming legislative amendments, and non-compliance can lead to significant fines.</w:t>
      </w:r>
    </w:p>
    <w:p>
      <w:pPr>
        <w:spacing w:after="0" w:line="22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the U.S., the AI regulatory environment is complex and uncertain.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If we develop or use AI systems that are governed by the these laws or regulations, we will need to meet higher standards of data quality, transparency, and human oversight, and we would need to adhere to specific and potentially burdensome and costly ethical, accountability, and administrative requirements. We may also be subject to significant enforcement or litigation in the event of any perceived non-compliance.</w:t>
      </w:r>
    </w:p>
    <w:p>
      <w:pPr>
        <w:spacing w:after="0" w:line="19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offerings, and the providers of these AI tools may not meet existing or rapidly evolving regulatory or industry standards, including with respect to privacy and data security. Any of these effects could damage our reputation, result in the loss of valuable property and information, cause us to breach applicable laws and regulations, and adversely impact our business. Bad actors around the world also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29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8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qualified key management and scientists, staff, consultants and advisors, our ability to implement our business plan may be adversely affected.</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highly dependent upon our senior management and our scientific, clinical and medical staff and advisors. The loss of the service of any of the members of our senior management or other key employees could delay our research and development programs and materially harm our business, financial condition, results of operations and prospects. In addition, we expect that we will continue to have an increased need to recruit and hire qualified personnel as we advance our programs and expand operations. Failure to successfully recruit and retain personnel could impact our anticipated development plans and timelines. We are dependent on the continued service of our technical personnel because of the highly technical and novel nature of our product candidates, platform and technologies and the specialized nature of the regulatory approval process. Replacing such personnel may be difficult and may take an extended period of time because of the limited number of individuals in our industry with the breadth of skills and experience required to successfully execute our business strategy, and we cannot assure you that we will be able to identify or employ qualified personnel for any such position on acceptable terms, if at all. Many of the biotechnology and pharmaceutical companies with whom we compete for qualified personnel have greater financial and other resources, different risk profiles and longer histories in the industry than we do. Because our management team and key employees are not obligated to provide us with continued service, they could terminate their employment with us at any time without penalty. We do not maintain key person life insurance policies on any of our management team members or key employees. Our future success will depend in large part on our continued ability to attract and retain highly qualified scientific, technical and management personnel, as well as personnel with expertise in preclinical and clinical testing, manufacturing, governmental regulation and commercialization. In order to do so, we may need to pay higher compensation or fees to our employees or consultants than we currently expect, and such higher compensation payments may have a negative effect on our operating results. We face increased competition for personnel from other companies, universities, public and private research institutions, government entities and other organizations. If we are unable to attract and retain qualified personnel, the rate and success at which we may be able to discover and develop our product candidates and implement our business plan will be limited. Further, some of the qualified personnel that we hire and recruit are not U.S. citizens. Changes to U.S. immigration</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0" w:name="page71"/>
    <w:bookmarkEnd w:id="70"/>
    <w:p>
      <w:pPr>
        <w:spacing w:after="0" w:line="282" w:lineRule="auto"/>
        <w:rPr>
          <w:sz w:val="20"/>
          <w:szCs w:val="20"/>
          <w:color w:val="auto"/>
        </w:rPr>
      </w:pPr>
      <w:r>
        <w:rPr>
          <w:rFonts w:ascii="Times New Roman" w:cs="Times New Roman" w:eastAsia="Times New Roman" w:hAnsi="Times New Roman"/>
          <w:sz w:val="18"/>
          <w:szCs w:val="18"/>
          <w:color w:val="auto"/>
        </w:rPr>
        <w:t>policies, particularly to H-1B and other visa programs, could restrain the flow of technical and professional talent into the United States and may inhibit our ability to hire qualified personnel.</w:t>
      </w:r>
    </w:p>
    <w:p>
      <w:pPr>
        <w:spacing w:after="0" w:line="26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research, development, delivery, manufacturing, commercialization, regulatory and future sales and marketing capabilities over time, and as a result, we may encounter difficulties in managing our growth, which could disrupt our operations.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2025, we had 24 full-time employees, including 3 who hold Ph.D. degrees and 1 who holds an M.D. degree; 13 employees are engaged in research and development and 11 employees in management or general and administrative activities. In connection with the growth and advancement of our pipeline and operating as a public company, we expect to focus the scope of our operations, particularly in the areas of drug development, regulatory affairs and sales and marketing. To manage our anticipated future growth, we must continue to implement and improve our managerial, operational and financial systems and continue to retain qualified personnel. Due to our limited financial resources and the limited experience of our management team in managing a company with such anticipated growth, we may not be able to effectively manage the expected expansion of our operations or recruit and train additional qualified personnel. Any inability to manage growth could delay the execution of our business plans or disrupt our operations.</w:t>
      </w:r>
    </w:p>
    <w:p>
      <w:pPr>
        <w:spacing w:after="0" w:line="19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As a growing biotechnology company, we are actively pursuing new platforms and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potential product candidates. If our management is unable to effectively manage the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any product candidates it may develop will depend in part on our ability to effectively manage the future development and our expansion.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80"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26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a product candidate in the clinical or at the commercial stage, and our product liability insurance may not cover all damages from such claims.</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While we currently have no products that have been approved for commercial sale, the current and future use of a product candidate in 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believe we currently maintain adequate product liability insurance for our product candidates, it is possible that our liabilities could exceed our insurance coverage or that in the future we may not be able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costs and the outcome of litigation could have a material adverse effect on our business.</w:t>
      </w:r>
    </w:p>
    <w:p>
      <w:pPr>
        <w:spacing w:after="0" w:line="121" w:lineRule="exact"/>
        <w:rPr>
          <w:sz w:val="20"/>
          <w:szCs w:val="20"/>
          <w:color w:val="auto"/>
        </w:rPr>
      </w:pPr>
    </w:p>
    <w:p>
      <w:pPr>
        <w:ind w:right="40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litigation claims through the ordinary course of our business operations regarding, but not limited to, employment matters, security of patient and employee personal information, contractual relations with collaborators and intellectual property rights. Litigation to defend itself against claims by third parties, or to enforce any rights that we may have against third parties, may continue to be necessary, which could result in substantial costs and diversion of our resources, causing a material adverse effect on our business, financial condition, results of operations or cash flows.</w:t>
      </w:r>
    </w:p>
    <w:p>
      <w:pPr>
        <w:spacing w:after="0" w:line="287"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economic downturns, inflation, increases in interest rates, natural disasters, public health crises, political crises, government shutdowns, geopolitical events, or other macroeconomic conditions, which could have a material and adverse effect on our results of operations and financial condition.</w:t>
      </w:r>
    </w:p>
    <w:p>
      <w:pPr>
        <w:spacing w:after="0" w:line="67"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among other things, diminished liquidity and credit availability, declines in consumer confidence, declines in economic growth, supply chain shortages, increases in inflation rates, higher interest rates, international tariffs and uncertainty about economic stability. The Federal Reserve had raised interest rates multiple times in response to concerns about inflation until recently, and it may raise them again. Higher interest rates, coupled with reduced government spending and volatility in financial markets, may increase economic uncertainty and affect consumer spending. In addition, in early 2025, the U.S. imposed blanket 10% tariffs on virtually all imports to the U.S. and significantly higher tariffs applicable to imports from many countries, which have resulted in other countries imposing additional tariffs on imports from the U.S., and is likely to continue to result in more retaliatory tariffs. The U.S. Supreme Court invalidated the reciprocal tariffs on February 20, 2026; however, President Trump has stated that he intends to use other authorities to maintain historically elevated tariffs. Historically, increased tariffs have led to more trade and political tensions and the status of these agreements between the United States and the various countries, in light of the U.S. Supreme Court’s February 20, 2026 decision, is not yet clear. While pharmaceutical end-products are currently excluded from certain tariffs, current or future tariffs will result in increased research and development expenses, including with respect to increased costs associated with active pharmaceutical ingredients (“APIs”), raw materials, laboratory equipment and research materials and components. In addition, the U.S. Department of Commerce is conducting a Section 232 investigation to assess the national security implications of pharmaceutical and API imports. The outcome of this investigation could result in additional trade restrictions, including tariffs, consistent with ongoing efforts to reshore pharmaceutical manufacturing. Further, the United States and the EU have announced the framework of a trade agreement that could impose a 15% tariff on most imports from the EU, including pharmaceutical products and inputs. However, the details of this trade agreement remain uncertain, including whether and to what extent such agreement may be impacted by the results of the Section 232 investigation. There can be no assurance that deterioration in credit and financial markets and confidence in economic conditions will not occur. Similarly, global geopolitical disruptions, including civil or political unrest or military conflicts such as between Russia and Ukraine, in Israel and Gaza and U.S.’s rising tensions with China have created extreme volatility in the global capital markets and may have further global economic consequences, including disruptions of the global supply chain. Any such volatility and disruptions may adversely affect our business or the third parties on whom we rely. If the equity and credit markets deteriorate, including as a result of political unrest or war, it may make any necessary debt or equity financing more costly, more dilutive, or more difficult to obtain in a timely manner or on favorable terms, if at all. Increased inflation rates can adversely affect us by increasing our costs, including labor and employee benefit costs.</w:t>
      </w:r>
    </w:p>
    <w:p>
      <w:pPr>
        <w:spacing w:after="0" w:line="20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Since inception, we have incurred losses and may never achieve profitability. As of December 31, 2025 and December 31, 2024, we had federal and state net operating losses (“NOLs”) of $423.3 million and $233.4 million, respectively. Under current law, our federal NOLs generated in taxable years beginning after December 31, 2017, may be carried forward indefinitely, but the deductibility of such federal NOLs is limited to 80% of its taxable income annually for tax years beginning after December 31, 2020. Federal NOLs generated in taxable years beginning before January 1, 2018, however, have a 20-year carryforward period, but are not subject to the 80% limitation. Our state NOLs expire at various dates from 2040 through 2045. As of December 31, 2025, we had federal research and development tax credit carryforwards of $6.3 million that expire at various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ind w:right="180"/>
        <w:spacing w:after="0" w:line="282" w:lineRule="auto"/>
        <w:rPr>
          <w:sz w:val="20"/>
          <w:szCs w:val="20"/>
          <w:color w:val="auto"/>
        </w:rPr>
      </w:pPr>
      <w:r>
        <w:rPr>
          <w:rFonts w:ascii="Times New Roman" w:cs="Times New Roman" w:eastAsia="Times New Roman" w:hAnsi="Times New Roman"/>
          <w:sz w:val="18"/>
          <w:szCs w:val="18"/>
          <w:color w:val="auto"/>
        </w:rPr>
        <w:t>dates from 2041 through 2045. In addition, as of December 31, 2025, we had state research and development tax credit carryforwards of $2.4 million that expire at various dates from 2038 through 2045.</w:t>
      </w:r>
    </w:p>
    <w:p>
      <w:pPr>
        <w:spacing w:after="0" w:line="16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or the Code, if a corporation undergoes an “ownership change,” generally defined as one or more shareholders or groups of shareholders who own at least 5 percent of the corporation’s equity increasing their equity ownership in the aggregate by more than 50 percentage points (by value) over a rolling three-year period, the corporation’s ability to use our pre-change NOLs and other pre-change tax attributes (such as research and development tax credits) to offset our post-change income or taxes may be limited. Similar rules may apply under state tax laws. Our prior equity offerings and other changes in our stock ownership may have resulted in such ownership changes in the past. We have not conducted a formal study to assess whether an ownership change has occurred or whether there have been multiple ownership changes since our inception. In addition, we may experience ownership changes in the future as a result of future securities offering or subsequent shifts in our stock ownership, some of which are outside of our control. As a result, even if we earn net taxable income in the future, our ability to use our pre-change NOLs or other pre-change tax attributes to offset U.S. federal taxable income or income taxes may be subject to limitations, which could potentially result in increased future tax liability to us. There is a risk that due to changes under the tax law,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owed by us. For these reasons, we may not be able to realize a tax benefit from the use of our NOLs or tax credits, even if we attain profitability.</w:t>
      </w:r>
    </w:p>
    <w:p>
      <w:pPr>
        <w:spacing w:after="0" w:line="29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Congress, the Trump administration, or any new administration may make substantial changes to fiscal, tax, and other federal policies that may adversely affect our business.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For example, the One Big Beautiful Bill Act (“OBBBA”) was signed into law on July 4, 2025 and made significant changes to U.S. federal tax law. Changes to tax laws (which changes may have retroactive application) could adversely affect our business and financial condition. For example, under Section 174 of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changes to tax laws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8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addition, 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was also swept into receivership. The U.S. Department of Treasury, the Federal Reserve Board (the “Federal Reserve”), and the FDIC released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ind w:right="60"/>
        <w:spacing w:after="0" w:line="256" w:lineRule="auto"/>
        <w:rPr>
          <w:sz w:val="20"/>
          <w:szCs w:val="20"/>
          <w:color w:val="auto"/>
        </w:rPr>
      </w:pPr>
      <w:r>
        <w:rPr>
          <w:rFonts w:ascii="Times New Roman" w:cs="Times New Roman" w:eastAsia="Times New Roman" w:hAnsi="Times New Roman"/>
          <w:sz w:val="18"/>
          <w:szCs w:val="18"/>
          <w:color w:val="auto"/>
        </w:rPr>
        <w:t>a statement that indicated that all depositors of SVB would have access to all of their funds, including funds held in uninsured deposit accounts, after only one business day of closure. The U.S. Department of Treasury, FDIC and Federal Reserve have announced a program to provide up to $25 billion of loans to financial institutions secured by certain government securities held by financial institutions to mitigate the risk of potential losses on the sale of such instruments and help address liquidity pressures that may arise. There is no guarantee, however, that the U.S. Department of Treasury, FDIC and Federal Reserve will provide access to uninsured funds in the future in the event of the closure of other banks or financial institutions, or that they would do so in a timely fashion.</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At this time, we hold the majority of our cash on deposit at SVB (which has been assumed by First Citizens) and we have not experienced any adverse impact to our current and projected business operations, financial condition or results of operations as a result of the closure of SVB or any other banks. We have diversified our cash deposit holdings between multiple financial institutions. However, uncertainty remains over liquidity concerns in the broader financial services industry, and our business, business partners, or industry as a whole may be adversely impacted in ways that we cannot predict at this time. If, for example, other banks and financial institutions enter receivership or become insolvent in the future in response to financial conditions affecting the banking system and financial markets, our ability to access our existing cash, cash equivalents and investments may be threatened.</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Although we have assessed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and in turn, us.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 In addition, one or more of our critical vendors, third party manufacturers, or other business partners could be adversely affected by any of the liquidity or other risks that are described above, which in turn, could have a material adverse effect on our current and/or projected business operations and results of operations and financial condition. Any business partner bankruptcy or insolvency, or any breach or default by a business partner, or the loss of any significant supplier relationships, could result in material adverse impacts on our current and/or projected business operations and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spacing w:after="0" w:line="26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develop and our stockholders may not be able to resell their shares of common stock for a profit, if at all.</w:t>
      </w:r>
    </w:p>
    <w:p>
      <w:pPr>
        <w:spacing w:after="0" w:line="5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Prior to the Merger, there had been no public market for shares of Legacy Q32 capital stock. An active trading market for our shares of common stock may never develop or be sustained. If an active market for our common stock does not develop or is not sustained, it may be difficult for our stockholders to sell their shares at an attractive price or at all.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existing securityholders of Homology and Legacy Q32 sell, or indicate an intention to sell, substantial amounts of our common stock in the public market after legal restrictions on resale lapse, the trading price of our common stock could decline. As of December 31, 2025, we had 12,858,047 shares of common stock outstanding. Stockholders are not restricted from selling shares of our common stock held by them, other than by applicable securities laws. In addition, shares of common stock that are subject to outstanding options or warrants of Legacy Q32 will become eligible for sale in the public market to the extent permitted by the provisions of various vesting agreements and Rules 144 and 701 under the Securities Act. If these shares are sold, the trading price of our common stock could decline.</w:t>
      </w:r>
    </w:p>
    <w:p>
      <w:pPr>
        <w:spacing w:after="0" w:line="29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administrator of the 2024 Plan is authorized to exercise its discretion, and has exercised such discretion, to affect the repricing of stock options and there may be adverse consequences to our business due to the exercise of discretion by the administrator of the 2024 Plan.</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Pursuant to our 2024 Plan, we are authorized to grant equity awards, including stock options, to our employees, directors and consultants. Our board of directors is the administrator of the 2024 Plan and is authorized to exercise its discretion to reduce the exercise price of stock options or effect the repricing of such awards. To provide added incentives to retain and motivate key contributors, our board of directors approved the Option Repricing in February 2025. As a result of such repricing or any potential future repricing, certain proxy advisory firms or institutional investors may be unsupportive of such actions and publicly criticize our compensation practices, and proxy advisory firms may recommend an “against” or “withhold” vote for members of our compensation committee. In addition, as we hold an advisory vote on named executive officer compensation (known as the “say-on-pay” vote) at the time of, or subsequent to, any such repricing, it is likely that proxy advisory firms would issue an “against” recommendation on our say-on-pay vote and institutional investors may not be supportive of our say-on-pay vote. If proxy advisory firms or institutional investors are successful in aligning their views with our broader stockholder base and we are required to make changes to the composition of our board and its committees, or if we need to make material changes to our compensation and corporate governance practices, our business might be disrupted and our stock price might be negatively impacted. Even if we are able to successfully rationalize the exercise of such discretionary power, defending against any “against” or “withhold” recommendation for members of our compensation committee, any “against” recommendation on our say on pay vote or public criticism could be distracting to management, and responding to such positions from such firms or investors, even if remedied, can be costly and time-consuming.</w:t>
      </w:r>
    </w:p>
    <w:p>
      <w:pPr>
        <w:spacing w:after="0" w:line="7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addition, we have incurred costs, including accounting and administrative costs and attorneys’ fees, and have recognized incremental compensation expense as a result of the option repricing conducted in February 2025, and may further incur significant costs or be required to recognize incremental compensation expense as a result of any potential future repricing, even absent negative reactions from proxy advisory firms and institutional investors. These actions could cause our stock price to decrease and experience periods of increased volatility, which could result in material adverse consequences to our business.</w:t>
      </w:r>
    </w:p>
    <w:p>
      <w:pPr>
        <w:spacing w:after="0" w:line="287"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our executive officers, directors and principal stockholders, in the aggregate, beneficially own approximately 56.4%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28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75" w:name="page76"/>
    <w:bookmarkEnd w:id="75"/>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fluctuate in the future. As a result, we may fail to meet or exceed the expectations of research analysts or investors, which could cause our stock price to decline and negatively impact our financing or funding ability, as well as negatively impact our ability to exist as a standalone company.</w:t>
      </w:r>
    </w:p>
    <w:p>
      <w:pPr>
        <w:spacing w:after="0" w:line="67"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financial condition and operating results have varied in the past and will continue to fluctuate from quarter-to-quarter and year-to-year in the future due to a variety of factors, many of which are beyond our control. Factors relating to our business that may contribute to these fluctuations include the following, as well as other factors described elsewhere in this Annual Report:</w:t>
      </w:r>
    </w:p>
    <w:p>
      <w:pPr>
        <w:spacing w:after="0" w:line="68" w:lineRule="exact"/>
        <w:rPr>
          <w:sz w:val="20"/>
          <w:szCs w:val="20"/>
          <w:color w:val="auto"/>
        </w:rPr>
      </w:pPr>
    </w:p>
    <w:p>
      <w:pPr>
        <w:ind w:left="1020" w:right="4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in the future. If we are unable to raise such capital when needed, or on acceptable terms, we may be forced to delay, reduce or eliminate clinical trials, product development programs or future commercialization efforts.</w:t>
      </w:r>
    </w:p>
    <w:p>
      <w:pPr>
        <w:spacing w:after="0" w:line="6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developed or may develop programs for the diseases we plan to address with bempikibart or other product candidates.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Bempikibart and the rest of our pipeline are in early stages of development and may fail in development or suffer delays that materially and adversely affect their commercial viability. If we or our current or future collaborators are unable to complete development of, or commercialize, our product candidates,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most advanced product candidate, bempikibart, and our clinical trials of our lead candidate may not be successful.</w:t>
      </w:r>
    </w:p>
    <w:p>
      <w:pPr>
        <w:spacing w:after="0" w:line="53"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to develop and commercialize our product candidates are, and in the future, may be subject to the terms and conditions of licenses granted to us by others. If we fail to comply with our obligations in the agreements under which we license intellectual property rights from third parties, or these agreements are terminated, or we otherwise experience disruptions to our business relationships with our licensors, we could lose license rights that are important to our business.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proprietary rights is uncertain, exposing us to the possible loss of competitive advantage.</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qualified key management and scientists, staff, consultants and advisors, our ability to implement our business plan may be adversely affected.</w:t>
      </w:r>
    </w:p>
    <w:p>
      <w:pPr>
        <w:spacing w:after="0" w:line="5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Due to the various factors mentioned herein, and others, the results of any of our prior quarterly or annual periods should not be relied upon as indications of our future operating performance.</w:t>
      </w:r>
    </w:p>
    <w:p>
      <w:pPr>
        <w:spacing w:after="0" w:line="5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financial results may fluctuate significantly from quarter-to-quarter and year-to-year,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 Our stock price may also decline as a result of unexpected clinical trial results in one or more of our ongoing or future clinical trials.</w:t>
      </w:r>
    </w:p>
    <w:p>
      <w:pPr>
        <w:spacing w:after="0" w:line="2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cash equivalents and may invest or spend the proceeds in ways with which you do not agree and in ways that may not increase the value of your investment.</w:t>
      </w:r>
    </w:p>
    <w:p>
      <w:pPr>
        <w:spacing w:after="0" w:line="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broad discretion over the use of our cash and cash equivalents. You may not agree with our decisions, and our use of these resources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use our cash resources.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results of operations or cash flows.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6" w:name="page77"/>
    <w:bookmarkEnd w:id="76"/>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and the provisions under Delaware law could make an acquisition of our company more difficult and may prevent attempts by our stockholders to replace or remove out management.</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discourage, delay or prevent a merger, acquisition or other change in control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will be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in the election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only the board of directors may fill vacancies on the board of directors created by the expansion of the board of directors or the resignation, death or removal of a director;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on at stockholder meetings;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and to determine the terms of those shares, including preferences and voting rights, without stockholder approval, which could be used to significantly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66.67% of the votes that all our stockholders would be entitled to cast to amend or repeal certain provisions of our charter or bylaws.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DGCL, which prohibits stockholders owning in excess of 15% of the outstanding voting stock from merging or combining with us. Although Homology and Legacy Q32 believe these provisions collectively will provide for an opportunity to receive higher bids by requiring potential acquirors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certain designated courts will be the sole and exclusive forum for certain legal actions between us and our stockholders, which could limit our stockholders’ ability to obtain a favorable judicial forum for disputes with us or our directors, officers, employees or agents.</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an alternative forum, the Court of Chancery of the State of Delaware is the sole and exclusive forum for state law claims for (i) any derivative action or proceeding brought on our behalf, (ii) any action asserting a claim of or based on a breach of a fiduciary duty owed by any of our current or former directors, officers, or other employees of the company or our stockholders, (iii) any action asserting a claim arising pursuant to any provision of the DGCL, our certificate of incorporation or our bylaws, or (iv) any action asserting a claim that is governed by the internal affairs doctrine, in each case subject to the Court of Chancery having personal jurisdiction over the indispensable parties named as defendants therein, which for purposes of this risk factor refers to herein as the “Delaware Forum Provision.” The Delaware Forum Provision will not apply to any causes of action arising under the Securities Act and the Exchange Act. Our bylaws further provide that, unless we consent in writing to an alternative forum, federal district courts of the United States will be the exclusive forum for resolving any complaint asserting a cause of action arising under the Securities Act, which for purposes of this risk factor is referred to herein as the “Federal Forum Provision.” In addition, our certificate of incorporation and bylaws that any person or entity purchasing or otherwise acquiring any interest in shares of our capital stock is deemed to have notice of and consented to the foregoing Delaware Forum Provision and Federal Forum Provision; provided, however, that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stockholders cannot and will not be deemed to have waived its compliance with the U.S. federal securities laws and the rules and regulations thereunder.</w:t>
      </w:r>
    </w:p>
    <w:p>
      <w:pPr>
        <w:spacing w:after="0" w:line="22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impose additional litigation costs on stockholders in pursuing any such claims, particularly if the stockholders do not reside in or near the State of Delaware. Additionally, the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securities.</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May 19, 2025, we received written notice (the “Notice”) from the listing qualifications staff of the Nasdaq Stock Market LLC (the “Staff”) notifying us that, based on our Quarterly Report on Form 10-Q for the quarter ended March 31, 2025, which reported our stockholders’ equity (deficit) of approximately ($4.0 million), we were no longer in compliance with the minimum stockholders’ equity requirement of $2.5 million for continued listing on the Nasdaq Capital Market per Listing Rule 5550(b)(1). Additionally, the Notice also stated that as of May 19, 2025, we did not meet the alternatives of market value of listed securities of $35.0 million per Listing Rule 5550(b)(2) or net income from continuing operations of $0.5 million in our most recently completed fiscal year or in two of our three most recently completed fiscal years per Listing Rule 5550(b)(3), and as such, we did not comply with the Listing Rule 5550 for continued listing on the Nasdaq Capital Market.</w:t>
      </w:r>
    </w:p>
    <w:p>
      <w:pPr>
        <w:spacing w:after="0" w:line="18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equity (deficit) was negatively impacted by the accounting treatment associated with the re-acquisition of bempikibart from Amgen in the fourth quarter of 2023. In 2022, Legacy Q32 and Horizon entered into the Horizon Collaboration Agreement to develop bempikibart in autoimmune diseases, pursuant to which Legacy Q32 received $55.0 million from Horizon, and Horizon had an option to acquire the bempikibart program at a prespecified price, subject to certain adjustments. In October 2023, Amgen completed its acquisition of Horizon plc. Following the closing of Amgen’s acquisition of Horizon plc, Legacy Q32 and Horizon entered into the Horizon Termination Agreement, pursuant to which Horizon’s option to acquire bempikibart was terminated. As a result, the Company retained all initial consideration and development funding received and agreed to pay Horizon regulatory and sales milestone payments of up to an aggregate amount of $75.1 million upon the first achievement of certain regulatory and sales milestones with respect to bempikibart. As a result of the Horizon Termination Agreement, we recorded a $55.0 million refund liability associated with the cash received by Horizon in 2022.</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November 7, 2025, we and Amgen entered into an amendment to the Horizon Termination Agreement (the “Amgen Amendment”) pursuant to which we issued Horizon a one-time equity grant of 553,695 shares of the Company’s common stock as full consideration of the milestone payments outlined in the Horizon Termination Agreement. Following the transactions contemplated by the Amgen Amendment, we have no remaining obligations to Amgen, including with respect to the $75.1 million in regulatory and sales-based milestone payments set forth in the Horizon Collaboration Agreement. Therefore, we derecognized the refund liability previously recorded for the $55.0 million of cash received under the Horizon Collaboration Agreement. The completion of the transactions increases our stockholders’ equity by $55.0 million, which brings us back into compliance with the minimum stockholders’ equity listing requirement for continued listing on the Nasdaq Capital Market per Listing Rule 5550(b)(1).</w:t>
      </w:r>
    </w:p>
    <w:p>
      <w:pPr>
        <w:spacing w:after="0" w:line="18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On November 18, 2025, we received Notice from the Staff indicating that based on the disclosure in our Quarterly Report on Form 10-Q for the period ended September 30, 2025, we are in compliance with the stockholders’ equity requirement for continued listing on the Nasdaq Capital Market per Listing Rule 5550(b)(1).</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Should we fail to satisfy other continued listing requirements of Nasdaq, such as the corporate governance requirements or the minimum share price requirement, or fail to regain compliance with Listing Rule 550(b)(1), Nasdaq may take steps to delist our securities. Such a delisting would likely have a negative effect on the price of the securities and would impair your ability to sell or purchase the securities when you wish to do so. In the event of a delisting, any action taken by us to restore compliance with listing requirements may not allow our securities to become listed again, stabilize the market price or improve the liquidity of our securities, prevent our securities from dropping below the Nasdaq minimum share price requirement or prevent future non-compliance with Nasdaq’s listing requirements. Additionally, if our securities are not listed on, or become delisted from Nasdaq for any reason, and are quoted on the over-the-counter bulletin board, an inter-dealer automated quotation system for equity securities that is not a national securities exchange, the liquidity and price of our securities may be more limited than if we were quoted or listed on Nasdaq or another national securities exchange.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Cybersecurity Risk Management and Strategy</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designed and assess our program based on the National Institute of Standards and Technology Cybersecurity Framework (“NIST CSF”).</w:t>
      </w:r>
    </w:p>
    <w:p>
      <w:pPr>
        <w:spacing w:after="0" w:line="22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risk management program, and shares common methodologies, reporting channels and governance processes that apply across the risk management program to other legal, compliance, strategic, operational, and financial risk areas.</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leverage the support of third-party information technology and security providers, including for periodic security testing, as part of our risk management process, designed to identify, assess, and manage cybersecurity risks. We maintain an incident response and notification plan designed to assist us in identifying, responding to, and recovering from cybersecurity incidents, and we have a process to assess the security practices of certain third-party vendors. We have also engaged a third-party with specialized expertise in cybersecurity to conduct an audit, which resulted in no notable findings, and reported the results to the Audit Committee.</w:t>
      </w:r>
    </w:p>
    <w:p>
      <w:pPr>
        <w:spacing w:after="0" w:line="18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like other companies in our industry, face a number of cybersecurity risks in connection with our business. Although such risks have not materially affected us, including our business strategy, results of operations or financial condition, to date, we and/or our vendors have, from time to time, experienced threats to, or security incidents, related to our data and systems or that had the potential to otherwise impact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Cybersecurity Governance</w:t>
      </w:r>
    </w:p>
    <w:p>
      <w:pPr>
        <w:spacing w:after="0" w:line="22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(the “Committee”) oversight of cybersecurity risks, including oversight of management’s implementation of our cybersecurity risk management program.</w:t>
      </w:r>
    </w:p>
    <w:p>
      <w:pPr>
        <w:spacing w:after="0" w:line="162"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Committee receives periodic reports from management on our cybersecurity risks. In addition, management updates the Committee, as necessary, regarding any significant cybersecurity incidents.</w:t>
      </w:r>
    </w:p>
    <w:p>
      <w:pPr>
        <w:spacing w:after="0" w:line="162"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Committee reports to the full Board regarding its activities, including those related to cybersecurity. The full Board also periodically receives briefings from management on our cyber risk management program. Board members receive presentations on cybersecurity topics from our management team as part of the Board’s continuing education on topics that impact public companies.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management team, with the assistance of the Company’s third-party information technology providers, is responsible for assessing and managing our material risks from cybersecurity threats. Internal personnel, including our Senior Vice President, Finance, have primary responsibility for our overall cybersecurity risk management program and supervise both our internal cybersecurity personnel and our retained external cybersecurity consultants. Members of our senior management do not have direct cybersecurity expertise obtained through certifications, but their experience managing the Company, which includes consulting and coordinating as necessary with third-party information technology and cybersecurity experts, enables them to assess and manage material risks from cybersecurity threats.</w:t>
      </w:r>
    </w:p>
    <w:p>
      <w:pPr>
        <w:spacing w:after="0" w:line="187"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Our management team stays informed about and monitors efforts to prevent, detect, mitigate, and remediate cybersecurity risks and incidents through various means, which may include: briefings from internal security personnel; threat intelligence and other information obtained from governmental, public or private sources; and alerts and reports produced by security tools deployed in our IT environment.</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principal office is located at 830 Winter Street, Waltham, Massachusetts 02451, where we lease approximately 15,771 square feet of office space. The lease term began in January 2022 and will end in December 2031. We believe that this facility will be adequate to meet our near-term needs. If required, we believe that suitable additional or substitute space will be available in the future on commercially reasonable terms to accommodate any such expansion of our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relating to claims arising from the ordinary course of business. We record a liability for such matters when it is probable that future losses will be incurred and that such losses can be reasonably estimated. Our management believes that there are currently no claims or actions pending against us, the ultimate disposition of which could have a material adverse effect on our results of operations or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5" w:right="459" w:bottom="1440" w:gutter="0" w:footer="0" w:header="0"/>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560" w:firstLine="449"/>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“QTTB.” Prior to the consummation of the Merger, the common stock was listed on the Nasdaq Global Select Market under the symbol “FIXX.”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As of March 1, 2026, we had approximately 14,629,463 shares of common stock issued and outstanding held of record by approximately 23 registered holders. The number of holders of record does not include a substantially greater number of “street name” holders or beneficial holders whose shares of Company common stock are held of record by banks, brokers and other financial institutions.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any future earnings for use in the operation of our business and do not anticipate paying any cash dividends on our capital stock in the foreseeable future. Notwithstanding the foregoing, any determination to pay cash dividends will be at the discretion of our board of directors and will depend upon a number of factors, including our results of operations, financial condition, future prospects, contractual restrictions, restrictions imposed by applicable law and other factors our board of directors deems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7" w:lineRule="exact"/>
        <w:rPr>
          <w:sz w:val="20"/>
          <w:szCs w:val="20"/>
          <w:color w:val="auto"/>
        </w:rPr>
      </w:pPr>
    </w:p>
    <w:p>
      <w:pPr>
        <w:ind w:right="200" w:firstLine="449"/>
        <w:spacing w:after="0" w:line="284" w:lineRule="auto"/>
        <w:rPr>
          <w:sz w:val="20"/>
          <w:szCs w:val="20"/>
          <w:color w:val="auto"/>
        </w:rPr>
      </w:pPr>
      <w:r>
        <w:rPr>
          <w:rFonts w:ascii="Times New Roman" w:cs="Times New Roman" w:eastAsia="Times New Roman" w:hAnsi="Times New Roman"/>
          <w:sz w:val="18"/>
          <w:szCs w:val="18"/>
          <w:color w:val="auto"/>
        </w:rPr>
        <w:t xml:space="preserve">Information about our equity compensation plans is incorporated herein by reference to Item 12, </w:t>
      </w:r>
      <w:r>
        <w:rPr>
          <w:rFonts w:ascii="Times New Roman" w:cs="Times New Roman" w:eastAsia="Times New Roman" w:hAnsi="Times New Roman"/>
          <w:sz w:val="18"/>
          <w:szCs w:val="18"/>
          <w:i w:val="1"/>
          <w:iCs w:val="1"/>
          <w:color w:val="auto"/>
        </w:rPr>
        <w:t>Security Ownership of Certain Beneficial Owners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Management and Related Stockholder Matters</w:t>
      </w:r>
      <w:r>
        <w:rPr>
          <w:rFonts w:ascii="Times New Roman" w:cs="Times New Roman" w:eastAsia="Times New Roman" w:hAnsi="Times New Roman"/>
          <w:sz w:val="18"/>
          <w:szCs w:val="18"/>
          <w:color w:val="auto"/>
        </w:rPr>
        <w:t>, of this Annual Report on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Purchases of Equity Securities by the Issuer or Affiliated Purchaser</w:t>
      </w:r>
    </w:p>
    <w:p>
      <w:pPr>
        <w:spacing w:after="0" w:line="229"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auto"/>
        </w:rPr>
        <w:t>We did not repurchase any of our equity securities or issue any securities that were not registered under the Securities Act during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0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together with our consolidated financial statements and the related notes appearing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described in or implied by these forward-looking statements. Factors that could cause or contribute to such differences include, but are not limited to, those discussed in the “Risk Factors” section of this Annual Report on Form 10-K.</w:t>
      </w:r>
    </w:p>
    <w:p>
      <w:pPr>
        <w:spacing w:after="0" w:line="1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to “Legacy Q32” refers to the business and operations of Q32 Bio Operations Inc. (previously Q32 Bio Inc.) and its consolidated subsidiaries prior to the Merger, and references to “the Company,” “we,” “us,” “our” and other similar terms refer to the business and operations of Q32 Bio Inc. (previously Homology Medicines, Inc., or Homology) and its consolidated subsidiary following the Merger.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are a clinical stage biotechnology company focused on developing novel biologics to effectively and safely restore healthy immune balance in patients with alopecia areata (“AA”) and other autoimmune and inflammatory diseases driven by pathological immune dysfunction.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Bempikibart (ADX-914)</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Bempikibart (ADX-914), our most advanced product candidate, is a fully human anti–interleukin-7 receptor alpha (“IL-7Rα”), antagonist monoclonal antibody designed to re-regulate adaptive immune function by potently blocking signaling mediated by interleukin-7 (“IL-7”), and thymic stromal lymphopoietin (“TSLP”). We have completed two Phase 2a clinical trials evaluating bempikibart, SIGNAL-AA Part A, for the treatment of AA, and SIGNAL-AD, for the treatment of atopic dermatitis (“AD”).</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December 2024, we announced topline results from both of these trials, as well as our intention to advance bempikibart for the treatment of AA. In April 2025, we announced dosing of the first patients in both the Part A open-label extension and Part B of the SIGNAL-AA Phase 2a clinical trial and in October 2025, we announced completion of enrollment in SIGNAL-AA Part B. Bempikibart is being evaluated for the treatment of AA in the ongoing Part B of the SIGNAL-AA Phase 2a clinical trial. Enrollment has been completed in the Part B portion of the clinical trial, with 33 patients enrolled and dosing remains ongoing. We expect to report 36-week topline data from the SIGNAL-AA Part B trial in mid-2026.</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Patients in the SIGNAL Phase 2a clinical trials were dosed with 200mg subcutaneous (“SC”) bempikibart every two weeks. In SIGNAL-AA Part A, 44 patients with severe and very severe AA were enrolled. Patients were dosed for 24 weeks and followed for an additional 12 weeks following the end of treatment. At the 24-week endpoint, we observed more hair regrowth compared to placebo and evidence of durable responses in patients. The average hair regrowth across patients in the trial continued to improve from week 24 to week 36 despite patients being off therapy during the 12-week follow-up period. In AD, bempikibart was evaluated in two parts, Part A (15 patients) and Part B (106 patients). While encouraging results were seen in Part A, the primary endpoint was not met in Part B.</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Across the trials, at the 200mg Phase 2a dose, we achieved our desired receptor occupancy (“RO”) and observed favorable pharmacokinetics (“PK”)</w:t>
      </w:r>
    </w:p>
    <w:p>
      <w:pPr>
        <w:spacing w:after="0" w:line="27" w:lineRule="exact"/>
        <w:rPr>
          <w:sz w:val="20"/>
          <w:szCs w:val="20"/>
          <w:color w:val="auto"/>
        </w:rPr>
      </w:pPr>
    </w:p>
    <w:p>
      <w:pPr>
        <w:ind w:right="200" w:firstLine="8"/>
        <w:spacing w:after="0" w:line="260" w:lineRule="auto"/>
        <w:tabs>
          <w:tab w:leader="none" w:pos="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pharmacodynamic (“PD”) properties, consistent with those from the Phase 1 clinical trial. Minimal anti-drug antibodies (“ADAs”) were observed in the trials.</w:t>
      </w:r>
    </w:p>
    <w:p>
      <w:pPr>
        <w:spacing w:after="0" w:line="1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across the two trials, we observed changes in biomarkers consistent with the IL-7Rα mechanism and activity mediated by both the TSLP and IL-7 receptors. In the SIGNAL-AD trial, we observed meaningful decreases in key Th2 biomarkers of TARC, IgE, and eosinophils, each of which were statistically significant at multiple timepoints suggestive of potent TSLP inhibition. In the SIGNAL-AA trial, we observed a CD3+ T cell decrease, which was also statistically significant at multiple timepoints, suggestive of potent IL-7 inhibition. These findings were consistent with expected target engagement and IL-7Rα blockade. Across all clinical trials, bempikibart has been dosed in over 150 participants to-date and has demonstrated a favorable safety and tolerability profile, with no Grade 3 or higher related adverse events.</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Part B portion of SIGNAL-AA is an open-label clinical trial dosing severe or very severe AA patients with a maximum duration of current episode of four years. Patients will be treated with bempikibart for 36 weeks, with follow-up out to 52 weeks. Dosing includes an initial loading regimen of 200mg of bempikibart dosed weekly for four doses, followed by a maintenance dose of 200mg every-other-week over a 32-week period for a total dosing period of 36 weeks. Efficacy will be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2" w:name="page83"/>
    <w:bookmarkEnd w:id="82"/>
    <w:p>
      <w:pPr>
        <w:ind w:right="320"/>
        <w:spacing w:after="0" w:line="261" w:lineRule="auto"/>
        <w:rPr>
          <w:sz w:val="20"/>
          <w:szCs w:val="20"/>
          <w:color w:val="auto"/>
        </w:rPr>
      </w:pPr>
      <w:r>
        <w:rPr>
          <w:rFonts w:ascii="Times New Roman" w:cs="Times New Roman" w:eastAsia="Times New Roman" w:hAnsi="Times New Roman"/>
          <w:sz w:val="18"/>
          <w:szCs w:val="18"/>
          <w:color w:val="auto"/>
        </w:rPr>
        <w:t>evaluated on the basis of mean percentage change from baseline in Severity of Alopecia Tool (“SALT”) scores as well as the proportion of subjects achieving various relative and absolute SALT score improvements at week 36, with follow-up through week 52. The trial is intended to support advancement into pivotal trials upon completion, pending review of the results. We expect to report 36-week topline data from the SIGNAL-AA Part B trial in mid-2026.</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April 2025, we announced that the FDA has granted Fast Track designation (“FTD”) to bempikibart for the treatment of AA. FTD is a process designed to facilitate the development and expedite the review of new drugs to treat serious diseases and fill an unmet medical need with the purpose of getting important new drugs to patients earlier. A drug that receives FTD may be eligible for more frequent meetings and communications with the FDA to discuss development plans and ensure the collection of appropriate data needed to support approval and for a rolling review of an application for marketing approval.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ADX-097</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to bempikibart, our strategy has been focused on the advancement of our proprietary tissue-targeted complement inhibitor platform. ADX-097, a Phase 2 asset from this platform, is a humanized anti-C3d monoclonal antibody (“mAb”) fusion protein that completed Phase 1 clinical trials. However, in February 2025, we announced a corporate restructuring to focus on the advancement of bempikibart for the treatment of patients with AA. On November 28, 2025, we entered into an Asset Purchase Agreement with Akebia Therapeutics, Inc. (“Akebia”) pursuant to which we sold to Akebia substantially all of our assets related to the research, development, manufacture and commercialization of ADX-097 (the “ADX-097 Asset Sale”). Following the ADX-097 Asset Sale, Akebia is now responsible for any future development and commercialization of ADX-097. As consideration for the ADX-097 Asset Sale, we received an upfront payment of $7.0 million and will receive a payment of $3.0 million on the six-month anniversary of the transaction. We will also receive a near-term milestone payment of $2.0 million upon the earlier of achievement of the first milestone under the Asset Purchase Agreement or December 31, 2026. In addition to these payments, we are eligible to receive up to $580 million upon the achievement of specified milestones, including up to $92.5 million related to development and regulatory milestones and up to $487.5 million related to commercial milestones. We are also eligible to receive tiered royalties on potential future sales of ADX-097 ranging from low single-digit to mid-teen percentages of annual net sales. The royalties will expire on a country-by-country basis on the later to occur of (a) the date of expiration of the last-to-expire valid claim of any transferred patent right that covers such product in such country, and (b) the tenth anniversary of the first commercial sale of such product.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ADX-096/Complement Inhibitor Platform</w:t>
      </w:r>
    </w:p>
    <w:p>
      <w:pPr>
        <w:spacing w:after="0" w:line="12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In addition to ADX-097, we developed a proprietary tissue-targeted complement platform, which is designed to inhibit complement activation in the tissue while minimizing systemic complement blockade, a key differentiator versus current complement therapeutics. Other assets developed from our proprietary platform include ADX-096, a C3d mAb – CR</w:t>
      </w:r>
      <w:r>
        <w:rPr>
          <w:rFonts w:ascii="Times New Roman" w:cs="Times New Roman" w:eastAsia="Times New Roman" w:hAnsi="Times New Roman"/>
          <w:sz w:val="24"/>
          <w:szCs w:val="24"/>
          <w:color w:val="auto"/>
          <w:vertAlign w:val="subscript"/>
        </w:rPr>
        <w:t>11-10</w:t>
      </w:r>
      <w:r>
        <w:rPr>
          <w:rFonts w:ascii="Times New Roman" w:cs="Times New Roman" w:eastAsia="Times New Roman" w:hAnsi="Times New Roman"/>
          <w:sz w:val="18"/>
          <w:szCs w:val="18"/>
          <w:color w:val="auto"/>
        </w:rPr>
        <w:t xml:space="preserve"> fusion protein with preclinical data supportive of its use in ophthalmologic indications as well as potential utility in a broad range of other indications, and C3d mAb fusions and nanobodies designed for tissue-targeted complement inhibition. We retain the rights to our wholly owned tissue-targeted complement inhibitor platform, including ADX-096 and other remaining early-stage assets, and are continuing to evaluate strategic options for these programs.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to Bempikibart</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From August 2022 until November 2023, Legacy Q32 was a party to the Collaboration and Option Agreement (the “Horizon Collaboration Agreement”) and the Asset Purchase Agreement (the “Purchase Agreement”, and together with the Horizon Collaboration Agreement, the “Horizon Agreements”), each between Legacy Q32 and Horizon Therapeutics Ireland DAC (“Horizon”), pursuant to which Legacy Q32 received $55.0 million in initial consideration and staged development funding to complete two ongoing Phase 2 trials for bempikibart, and granted Horizon an option to acquire the bempikibart program at a prespecified price, subject to certain adjustments.</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October 2023, Amgen Inc. (“Amgen”) completed the acquisition of Horizon Therapeutics public limited company (“Horizon plc”). Following the acquisition, Legacy Q32 agreed with Amgen to mutually terminate the Horizon Agreements. In November 2023, Legacy Q32 entered into a termination agreement with Horizon (the “Horizon Termination Agreement”), pursuant to which Horizon’s option to acquire the bempikibart program was terminated. As a result, Legacy Q32 retained the initial consideration and development funding received under the Horizon Collaboration Agreement and regained full development and commercial rights to bempikibart. In consideration for the Horizon Termination Agreement, Legacy Q32 agreed to pay Horizon regulatory and sales milestone payments of up to an aggregate amount of $75.1 million upon the first achievement of certain regulatory and sales milestones with respect to bempikibart.</w:t>
      </w:r>
    </w:p>
    <w:p>
      <w:pPr>
        <w:spacing w:after="0" w:line="18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These potential payments to Horizon are not in exchange for a distinct good or service and therefore, we accounted for consideration payable to Horizon as a reduction of the transaction price under the Financial Accounting Standards Board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3" w:name="page84"/>
    <w:bookmarkEnd w:id="83"/>
    <w:p>
      <w:pPr>
        <w:spacing w:after="0" w:line="261" w:lineRule="auto"/>
        <w:rPr>
          <w:sz w:val="20"/>
          <w:szCs w:val="20"/>
          <w:color w:val="auto"/>
        </w:rPr>
      </w:pPr>
      <w:r>
        <w:rPr>
          <w:rFonts w:ascii="Times New Roman" w:cs="Times New Roman" w:eastAsia="Times New Roman" w:hAnsi="Times New Roman"/>
          <w:sz w:val="18"/>
          <w:szCs w:val="18"/>
          <w:color w:val="auto"/>
        </w:rPr>
        <w:t xml:space="preserve">(“FASB”)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We concluded that the $55.0 million of arrangement consideration previously recognized should be fully constrained as a result of the contingent consideration payable to Horizon, and accordingly, the amounts previously recognized were reversed in the fourth quarter of 2023 and a refund liability was established for the $55.0 million cash received during the term of the Horizon Collaboration Agreement.</w:t>
      </w:r>
    </w:p>
    <w:p>
      <w:pPr>
        <w:spacing w:after="0" w:line="182"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On November 7, 2025, we entered into an amendment to the Horizon Termination Agreement (the “Amgen Amendment”) with Amgen pursuant to which we issued Horizon a one-time equity grant of 553,695 shares of our common stock as full consideration of the milestone payments under the Horizon Termination Agreement. Following the transactions contemplated by the Amgen Amendment, we have no remaining obligations to Amgen, including with respect to the $75.1 million in regulatory and sales-based milestone payments set forth in the Horizon Collaboration Agreement. Therefore, we derecognized the refund liability previously recorded for the $55.0 million of cash received under the Horizon Collaboration Agreement and recognized collaboration arrangement revenue for the difference between the equity issuance, and the refund liability as the consideration was no longer constrained.</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with Homology and Pre-Closing Financing</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November 16, 2023, Legacy Q32 entered into an Agreement and Plan of Merger and Reorganization (the “Merger Agreement”) with Homology and Kenobi Merger Sub, Inc., a wholly-owned subsidiary of Homology (“Merger Sub”). The Merger was completed on March 25, 2024. Pursuant to the Merger Agreement, Merger Sub merged with and into Legacy Q32, with Legacy Q32 continuing as the surviving company and as a wholly-owned subsidiary of Homology (the “Merger”). Homology changed its name to Q32 Bio Inc. (“Q32”), and Legacy Q32, which remains as a wholly-owned subsidiary of Q32, changed its name to Q32 Bio Operations Inc. On March 26, 2024, the combined company’s common stock began trading on the Nasdaq Global Market under the ticker symbol “QTTB.” The business of Legacy Q32 continues as the business of the combined company. The Merger is intended to qualify for federal income tax purposes as a tax-free reorganization under the provisions of Section 368(a) of the Internal Revenue Code of 1986, as amended. In connection with the Merger Agreement, certain parties entered into a subscription agreement with us to purchase shares of our common stock for an aggregate purchase price of $42.0 million (the “Pre-Closing Financing”).</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March 25, 2024 (the “Closing Date”), following approval by our stockholders and by Homology’s stockholders, the Pre-Closing Financing closed immediately prior to the consummation of the Merger. Shares of Legacy Q32’s common stock issued pursuant to the Pre-Closing Financing were converted into the right to receive 1,682,045 shares of Homology common stock after taking into account the Reverse Stock Split. On March 25, 2024, in connection with, and prior to the completion of the Merger, Homology effected a one-for-eighteen reverse stock split (the “Reverse Stock Split”) of its then outstanding common stock. Subject to the terms and conditions of the Merger Agreement, at the effective time of the Merger, which was March 25, 2024, all issued and outstanding shares of the Legacy Q32’s common stock (including common stock issued upon the conversion of all Legacy Q32’s Series A, Series A-1 and Series B preferred stock, conversion of Legacy Q32 convertible notes, but excluding the common stock issued in Pre-Closing Financing) converted into the right to receive 7,017,842 shares of Homology’s common stock based on the final exchange ratio of 0.0480 (the “Exchange Ratio”). Lastly, each option to purchase Legacy Q32’s shares that was outstanding and unexercised immediately prior to the effective time of the Merger was converted into an option to purchase shares of Homology common stock based on the final Exchange Ratio. Immediately following the Merger, Legacy Q32 stockholders owned approximately 74.4% of the outstanding common stock of the combined company.</w:t>
      </w:r>
    </w:p>
    <w:p>
      <w:pPr>
        <w:spacing w:after="0" w:line="19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in accordance with accounting principles generally accepted in the United States of America (“GAAP”). For accounting purposes, Legacy Q32 is considered the accounting acquirer and Homology is the acquired company based on the terms of the Merger Agreement and other factors, such as relative voting rights and the composition of the combined company’s board of directors and senior management. Accordingly, the Merger was treated as the equivalent of Legacy Q32’s issuing stock to acquire the net assets of Homology. As a result of the Merger, the net assets of Homology were recorded at their acquisition-date fair value in the financial statements of the combined company and the reported operating results prior to the Merger are those of Legacy Q32. Legacy Q32’s historical financial statements became the historical consolidated financial statements of the combined company. All issued and outstanding Legacy Q32 common stock, convertible preferred stock and options prior to the effective date of the Merger have been retroactively adjusted to reflect the Exchange Ratio, which reflects the impact of the reverse stock split, for all periods presented.</w:t>
      </w:r>
    </w:p>
    <w:p>
      <w:pPr>
        <w:spacing w:after="0" w:line="188"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At the effective time of the Merger, each person who as of immediately prior to the effective time of the Merger was a stockholder of record of Homology or had the right to receive Homology’s common stock received a contractual contingent value right (“CVR”), issued by Homology subject to and in accordance with the terms and conditions of a Contingent Value Rights Agreement between Homology and the rights agent (the “CVR Agreement”), representing the contractual right to receive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84" w:name="page85"/>
    <w:bookmarkEnd w:id="84"/>
    <w:p>
      <w:pPr>
        <w:ind w:right="620"/>
        <w:spacing w:after="0" w:line="282" w:lineRule="auto"/>
        <w:rPr>
          <w:sz w:val="20"/>
          <w:szCs w:val="20"/>
          <w:color w:val="auto"/>
        </w:rPr>
      </w:pPr>
      <w:r>
        <w:rPr>
          <w:rFonts w:ascii="Times New Roman" w:cs="Times New Roman" w:eastAsia="Times New Roman" w:hAnsi="Times New Roman"/>
          <w:sz w:val="18"/>
          <w:szCs w:val="18"/>
          <w:color w:val="auto"/>
        </w:rPr>
        <w:t>cash payments from the combined company upon the receipt of certain proceeds from a disposition of Homology’s pre-merger assets, calculated in accordance with the CVR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$48.3 million. We expect that our cash and cash equivalents, combined with gross proceeds from our registered direct offering completed in February 2026 and guaranteed near-term milestone payments from the ADX-097 Asset Sale, will be sufficient to enable us to fund our operating expenses and capital expenditure requirements into the fourth quarter of 2027. This estimate is based on assumptions that may prove to be wrong, and we could use our capital resources sooner than currently anticipated.</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do not expect our existing cash and cash equivalents will be sufficient for us to advance any of our programs through regulatory approval, and we will need to raise additional capital to complete the development and potential commercialization of any of our programs. We may also use a portion of our cash and cash equivalents to acquire, in-license or invest in products, technologies or businesses that are complementary to our business. The amounts and timing of actual expenditures will depend on numerous factors, including the progress of development efforts, operating costs and other factors described under “Risk Factors” in this Annual Report on Form 10-K.</w:t>
      </w:r>
    </w:p>
    <w:p>
      <w:pPr>
        <w:spacing w:after="0" w:line="183"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expected use of proceeds represents current intentions based upon present plans and business conditions. As of the date of this Annual Report on Form 10-K, we cannot predict with complete certainty all of the particular uses for our current cash and cash equivalents or the actual amounts that we will spend on the uses set forth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Since its inception, Legacy Q32 has not generated any revenue from product sales, and our management does not expect the combined company to generate any revenue from the sale of products in the foreseeable future.</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Legacy Q32 entered into the Horizon Agreements on August 12, 2022. Per the terms of the Horizon Collaboration Agreement, Legacy Q32 received a total of $55.0 million upon initiation of certain development activities associated with the planned clinical trials and related activities. Prior to its termination, the Purchase Agreement also provided Horizon the option to purchase bempikibart, which would have triggered a prespecified payment to Legacy Q32, if exercised. Legacy Q32 was also entitled to receive from Horizon additional payments based on the achievement of future development and regulatory milestones as well as royalty payments on annual net sales.</w:t>
      </w:r>
    </w:p>
    <w:p>
      <w:pPr>
        <w:spacing w:after="0" w:line="183"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Prior to the Horizon Termination Agreement, Legacy Q32 concluded that the arrangement was within the scope of ASC 606. Specifically, Legacy Q32 concluded that the research services required to be performed as part of the Horizon Collaboration Agreement represented an output of Legacy Q32’s ordinary activities, and this represented a contract with a customer. At the commencement of the collaboration arrangement with Horizon, Legacy Q32 identified two performance obligations related to the development activities of bempikibart, one of each of the specified clinical trials in AD and AA, with each composing the services related to the clinical trial and other related development activity. Legacy Q32 also identified a material right related to the option for Horizon to purchase bempikibart. The material right was considered a separate performance obligation pursuant to the provisions of ASC 606. Legacy Q32 determined the transaction price to be $55.0 million which it allocated to the three performance obligations based on the estimated stand-alone selling price of each performance obligation. Legacy Q32 concluded that the consideration allocated to the research service performance obligations should be recognized over time as Horizon received the benefit of the research activities as the activities were performed. Legacy Q32 determined that this method was most appropriate as progress towards completion of research is largely driven by time and effort spent and costs incurred to perform this research. As of December 31, 2023, Legacy Q32 had received the full $55.0 million, which the combined company retains. The Horizon Termination Agreement was accounted for as a modification because it did not result in the addition of distinct goods or services. Since the two performance obligations and the material right are terminated with no further performance obligations aside from the contingent payments to Horizon of up to $75.1 million, Legacy Q32 recognized the remaining deferred revenue in the fourth quarter of 2023.</w:t>
      </w:r>
    </w:p>
    <w:p>
      <w:pPr>
        <w:spacing w:after="0" w:line="19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Upon the execution of the Horizon Termination Agreement, Legacy Q32 became obligated to pay Horizon up to $75.1 million contingent on regulatory and sales-based milestones, consisting of a $5.0 million payment upon the first regulatory approval in the U.S. or in any of five specified major western European markets, and up to $70.1 million ranging from mid-single digit to low-double digit millions of dollars upon the achievement of specified annual sales thresholds, which range from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5" w:name="page86"/>
    <w:bookmarkEnd w:id="85"/>
    <w:p>
      <w:pPr>
        <w:ind w:right="440"/>
        <w:spacing w:after="0" w:line="282" w:lineRule="auto"/>
        <w:rPr>
          <w:sz w:val="20"/>
          <w:szCs w:val="20"/>
          <w:color w:val="auto"/>
        </w:rPr>
      </w:pPr>
      <w:r>
        <w:rPr>
          <w:rFonts w:ascii="Times New Roman" w:cs="Times New Roman" w:eastAsia="Times New Roman" w:hAnsi="Times New Roman"/>
          <w:sz w:val="18"/>
          <w:szCs w:val="18"/>
          <w:color w:val="auto"/>
        </w:rPr>
        <w:t>exceeding $250 million to exceeding $1.5 billion. If bempikibart does not achieve the milestones set forth in the Horizon Termination Agreement, the Company will not be obligated to make any payments nor repay any amounts to Horizon.</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These potential payments to the customer were not in exchange for a distinct good or service; therefore, we accounted for the consideration payable to a customer as a reduction of the transaction price under ASC 606. Legacy Q32 concluded that the $55.0 million of arrangement consideration previously recognized should be fully constrained as a result of the contingent consideration payable to the customer, and accordingly, all amounts previously recognized as revenue were reversed in the fourth quarter of 2023 and a refund liability was established for the $55.0 million cash received during the term of the collaboration agreement.</w:t>
      </w:r>
    </w:p>
    <w:p>
      <w:pPr>
        <w:spacing w:after="0" w:line="183"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November 7, 2025, we entered into the Amgen Amendment pursuant to which we issued Horizon a one-time equity grant of 553,695 shares of our common stock as full consideration of the milestone payments outlined in the Horizon Termination Agreement. Following the transactions contemplated by the Amgen Amendment, we have no remaining obligations to Amgen, including with respect to the $75.1 million in regulatory and sales-based milestone payments set forth in the Horizon Collaboration Agreement. Therefore, we derecognized the refund liability previously recorded for the $55.0 million of cash received under the Horizon Collaboration Agreement and recognized collaboration arrangement revenue for the difference between the equity issuance, and the refund liability as the consideration was no longer constrained.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expenses since inception have consisted solely of research and development costs and general and administrative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and consist primarily of external and internal expenses incurred in connection with the discovery and development of our product candidates. External expenses include:</w:t>
      </w:r>
    </w:p>
    <w:p>
      <w:pPr>
        <w:spacing w:after="0" w:line="54" w:lineRule="exact"/>
        <w:rPr>
          <w:sz w:val="20"/>
          <w:szCs w:val="20"/>
          <w:color w:val="auto"/>
        </w:rPr>
      </w:pPr>
    </w:p>
    <w:p>
      <w:pPr>
        <w:ind w:left="1020" w:right="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our research and development activities, including costs related to agreements with third parties such as consultants, contractors and clinical research organizations (“CROs”);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contract development and manufacturing organizations (“CDMOs”), that are primarily engaged to provide drug substance and product for our preclinical studies, clinical trials and research and development programs, as well as investigative sites and consultants that conduct our clinical trials, preclinical studies and other scientific development services;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facilities-related expenses, depreciation, supplies, travel expenses and other allocated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22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are recognized based on an evaluation of the progress to completion of specific tasks using information provided to us by our service providers or our estimate of the level of service that has been performed at each reporting date. Payments for these activities are based on the terms of the individual agreements, which may differ from the pattern of costs incurred, and may be reflected in our consolidated financial statements as prepaid or accrued expenses. Nonrefundable advance payments for goods or services to be received in the future for use in research and development activities are recorded as prepaid expenses and expensed as the related goods are delivered or the services are performed or when it is no longer expected that the goods will be delivered or the services rendered.</w:t>
      </w:r>
    </w:p>
    <w:p>
      <w:pPr>
        <w:spacing w:after="0" w:line="18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do not allocate direct external research and development costs to specific programs or product candidates until there is an internally designated development candidate. We typically use our employee and infrastructure resources across our product candidates and development programs. We do not allocate personnel costs or other internal costs to research and development programs and product candidates.</w:t>
      </w:r>
    </w:p>
    <w:p>
      <w:pPr>
        <w:spacing w:after="0" w:line="176"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expect that future changes to our research and development expenses will depend significantly on the success of our clinical data. We expect that research and development expenses will increase substantially as we continue to advance our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6" w:name="page87"/>
    <w:bookmarkEnd w:id="86"/>
    <w:p>
      <w:pPr>
        <w:ind w:right="40"/>
        <w:spacing w:after="0" w:line="255" w:lineRule="auto"/>
        <w:rPr>
          <w:sz w:val="20"/>
          <w:szCs w:val="20"/>
          <w:color w:val="auto"/>
        </w:rPr>
      </w:pPr>
      <w:r>
        <w:rPr>
          <w:rFonts w:ascii="Times New Roman" w:cs="Times New Roman" w:eastAsia="Times New Roman" w:hAnsi="Times New Roman"/>
          <w:sz w:val="18"/>
          <w:szCs w:val="18"/>
          <w:color w:val="auto"/>
        </w:rPr>
        <w:t>programs into and through clinical development. Product candidates in later stages of clinical development generally have higher development costs than those in earlier stages of clinical development, primarily due to the increased size and duration of later-stage clinical trials. At this time, we cannot accurately estimate or know the nature, timing and costs of the efforts that will be necessary to complete the preclinical and clinical development of any product candidates. A change in the outcome of any number of variables with respect to product candidates we may develop could significantly change the costs and timing associated with the development of that product candidate. We may never succeed in obtaining regulatory approval for any product candidates we may develop. The successful development of any product candidate is highly uncertain. This is due to the numerous risks and uncertainties associated with product development, including the following:</w:t>
      </w:r>
    </w:p>
    <w:p>
      <w:pPr>
        <w:spacing w:after="0" w:line="81"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raise additional funds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agreements with third-party manufacturers for supply of product candidate components for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 for any approved products.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salaries, bonuses, related benefits, and stock-based compensation expense for personnel in executive, finance, and administrative functions; professional fees for corporate legal and patent matters, consulting, accounting, and audit services; and travel expenses, insurance, technology costs and other allocated expenses. General and administrative expenses also include corporate facility costs, including rent, utilities, depreciation, and maintenance, not otherwise included in research and development expense. We recognize general and administrative expenses in the periods in which they are incurred. General and administrative expenses are expected to increase as we continue to operate as a public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Convertible Notes</w:t>
      </w:r>
    </w:p>
    <w:p>
      <w:pPr>
        <w:spacing w:after="0" w:line="121"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Legacy Q32 recognized a liability as a result of the issuance of convertible promissory notes (the “Convertible Notes”). We account for all convertible notes issued under the fair value option election of FASB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The financial instrument is initially measured at its issue-date estimated fair value and then subsequently remeasured at estimated fair value on a recurring basis at each reporting period date. The estimated fair value adjustment is recognized within other income (expense), net in the accompanying consolidated statements of operations and the portion of the fair value adjustment attributed to a change in the instrument-specific credit risk is recognized as a component of other comprehensive loss, if any.</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Upon closing of the Merger, Legacy Q32 converted the outstanding Convertible Notes plus accrued interest into shares of common stock at 90% of the purchase price of the mandatory conversion event. As the Convertible Notes are recorded at fair value, a noncash gain of $15.9 million on the change in fair value prior to the conversion of convertible notes is reflected in the consolidated statement of operation for the year ended December 31, 2024.</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Asset</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November 28, 2025, we completed the ADX-097 Asset Sale. As consideration for the ADX-097 Asset Sale, we received an upfront payment of $7.0 million and will receive a payment of $3.0 million on the six-month anniversary of the transaction. We will also receive a near-term milestone payment of $2.0 million upon the earlier of achievement of the first milestone under the Asset Purchase Agreement or December 31, 2026. In addition to these payments, we are eligible to receive up to $580 million upon the achievement of specified milestones and tiered royalties on potential future sales of ADX-097. We accounted for the transaction as an asset sale and recognized $11.7 million, comprised of $12.0 million in guaranteed upfront and near-term milestones less certain contractual offsets, as a gain on sale of asset included in other income (expense) in the consolidated statements of operations in the fourth quarter of 2025. Any future milestones and royalties will be recognized when achieved.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Other income (expense), net consists of interest income primarily earned on money market fund accounts and interest expense related to our debt obligations. We use the cost method to account for an investment in an entity in which we do not have the ability to exercise significant influence over operating and financial policies. Investments recorded using the cost method are assessed for any decrease in value that has occurred that is other than temporary and the other than temporary decrease in value is recognized in other income (expense), net. We recognize the change in fair value of the CVR liability in other income (expense), net.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Since inception, we have not recorded any U.S. federal or state income tax benefits for the net losses we have incurred in each year or for earned research and development tax credits, due to the uncertainty of realizing a benefit from those items. As of December 31, 2025, we had federal and state net operating loss carryforwards of $217.4 million and $205.9 million, respectively. The federal NOLs are not subject to expiration and the state NOLs expire at various dates beginning in 2040. As of December 31, 2025, we also had federal and state research and development tax credit carryforwards of $6.3 million and $2.4 million, respectively, that expire at various dates beginning in 2038.</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Equity Method Investment</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use the equity method of accounting to account for an investment in an entity that we do not control, but in which we have the ability to exercise significant influence over operating and financial policies. Our proportionate share of the net income or loss of the entity is recorded as loss from equity method investment. Prior to May 22, 2024, we accounted for our investment in Oxford Biomedica (US) LLC (“OXB (US) LLC”) using the equity method of accounting and recorded our share of gains or losses from OXB (US) LLC on a quarterly basis.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tcPr>
          <w:p>
            <w:pPr>
              <w:jc w:val="center"/>
              <w:ind w:left="39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w:t>
            </w:r>
          </w:p>
        </w:tc>
        <w:tc>
          <w:tcPr>
            <w:tcW w:w="540" w:type="dxa"/>
            <w:vAlign w:val="bottom"/>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81"/>
              </w:rPr>
              <w:t>thousands)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arrangement revenue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53,737</w:t>
            </w:r>
          </w:p>
        </w:tc>
        <w:tc>
          <w:tcPr>
            <w:tcW w:w="540" w:type="dxa"/>
            <w:vAlign w:val="bottom"/>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53,737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19,156</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48,143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36,835</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66,102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(29,267)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(66,102)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 on sale of asset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5280" w:type="dxa"/>
            <w:vAlign w:val="bottom"/>
            <w:tcBorders>
              <w:right w:val="single" w:sz="8" w:color="CFF0FC"/>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Income (loss) before provision for income taxes and loss from equity</w:t>
            </w:r>
          </w:p>
        </w:tc>
        <w:tc>
          <w:tcPr>
            <w:tcW w:w="2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29,821</w:t>
            </w: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(46,087)</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75,908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method investment</w:t>
            </w:r>
          </w:p>
        </w:tc>
        <w:tc>
          <w:tcPr>
            <w:tcW w:w="220" w:type="dxa"/>
            <w:vAlign w:val="bottom"/>
            <w:shd w:val="clear" w:color="auto" w:fill="CFF0FC"/>
          </w:tcPr>
          <w:p>
            <w:pPr>
              <w:spacing w:after="0"/>
              <w:rPr>
                <w:sz w:val="19"/>
                <w:szCs w:val="19"/>
                <w:color w:val="auto"/>
              </w:rPr>
            </w:pPr>
          </w:p>
        </w:tc>
        <w:tc>
          <w:tcPr>
            <w:tcW w:w="8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gridSpan w:val="2"/>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29,821</w:t>
            </w: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(47,733)</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-1439545</wp:posOffset>
            </wp:positionV>
            <wp:extent cx="514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-1439545</wp:posOffset>
            </wp:positionV>
            <wp:extent cx="514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-1439545</wp:posOffset>
            </wp:positionV>
            <wp:extent cx="514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-873760</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-873760</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-873760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-454025</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-454025</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-454025</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-170815</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Arrangement Revenue</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Collaboration arrangement revenue for the year ended December 31, 2025, is comprised of the recognition of $53.7 million of non-cash revenue related to the Amgen Amendment, which effectively terminated all obligations to and from Amgen, and is therefore not expected to continue in future years. See further discussion under “Revenue” above. There was no revenue recognized for the year ended December 31, 2024.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years ended December 31, 2025 and 2024:</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w:t>
            </w:r>
          </w:p>
        </w:tc>
        <w:tc>
          <w:tcPr>
            <w:tcW w:w="540" w:type="dxa"/>
            <w:vAlign w:val="bottom"/>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81"/>
              </w:rPr>
              <w:t>thousands)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research and development expense by program:</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Bempikibart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ADX-097</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Discovery and other</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expenses:</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Personnel-related and consulting</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(including stock-based compensation)</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Indirect research and development expense</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19,156</w:t>
            </w: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48,143</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-170815</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$19.2 million for the year ended December 31, 2025, compared to $48.1 million for the year ended December 31, 2024. The decrease of $29.0 million was primarily due to decreased bempikibart program expenses of $22.0 million due to lower clinical costs and lower costs related to manufacturing clinical trial materials, as well as higher costs in the prior year since we were advancing clinical trials for both AA and AD. ADX-097 program expenses decreased by $3.3 million primarily due to the discontinuation of the Phase 2 renal basket clinical trial of ADX-097 in the first quarter of 2025 and the ADX-097 Asset Sale in November 2025.</w:t>
      </w:r>
    </w:p>
    <w:p>
      <w:pPr>
        <w:spacing w:after="0" w:line="18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305" w:right="579" w:bottom="1440" w:gutter="0" w:footer="0" w:header="0"/>
        </w:sectPr>
      </w:pPr>
    </w:p>
    <w:bookmarkStart w:id="89" w:name="page90"/>
    <w:bookmarkEnd w:id="89"/>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decrease in personnel-related and consultant costs was primarily related to lower headcount as compared to the same period in the prior year. Personnel-related and consultant costs for the year ended December 31, 2025 and 2024 included stock-based compensation expense of $0.9 million and $1.1 million,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$17.7 million for the year ended December 31, 2025, compared to $18.0 million for the year ended December 31, 2024. The decrease of $0.3 million was primarily due to decreased personnel-related costs as a result of reduced headcount in the year ended December 31, 2025 associated with the restructuring in February 2025, as well as decreased consulting costs as compared to the prior year, partially offset by higher legal and insurance expense. General and administrative expenses include stock-based compensation expense of $4.3 million and $3.3 million for the years ended December 31, 2025 and 2024,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Convertible Notes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Upon closing of the Merger in March 2024, Legacy Q32 converted its outstanding Convertible Notes plus accrued interest into shares of common stock at 90% of the purchase price of the mandatory conversion event. As the Convertible Notes are recorded at fair value, a gain of $15.9 million on the change in fair value prior to the conversion of the Convertible Notes is reflected in the consolidated statement of operation for the year ended December 31,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Asset</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recognized an $11.7 million gain related to the ADX-097 Asset Sale to Akebia for the year ended December 31, 2025, as compared to none for the year ended December 31, 2024. See further discussion under “Gain on Sale of Asset” above.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Other income (expense), net was $1.1 million for the year ended December 31, 2025, compared to $4.1 million for the year ended December 31, 2024. Other income (expense), net for the year ended December 31, 2025 includes interest income of $2.2 million as well as a gain recorded for the change in fair value of the CVR liability of $0.4 million. These amounts are partially offset by interest expense of $1.1 million on our venture debt. Other income (expense), net for the year ended December 31, 2024 includes interest income of $3.9 million, as well as a gain recorded for the change in fair value of the CVR liability of $2.2 million. These amounts are partially offset by interest expense of $1.1 million on our venture debt and an other-than-temporary impairment charge of approximately $0.7 million we recorded because it was determined that the fair value of our equity investment in OXB (US) LLC was less than its carrying value. The decrease in other income (expense), net is primarily due to a smaller gain recorded in the current year for the change in fair value of the CVR liability as compared to the prior year, as well as lower interest income as a result of a lower average cash balance at December 31, 2025.</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Provision for income taxes was less than $0.1 million for the year ended December 31, 2024. There was no provision for income taxes recorded for the year ended December 31, 2025.</w:t>
      </w:r>
    </w:p>
    <w:p>
      <w:pPr>
        <w:spacing w:after="0" w:line="54"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Since inception, we have not recorded any U.S. federal or state income tax benefits for net losses incurred in each year or for earned research and development tax credits, due to our uncertainty of realizing a benefit from those items. As of December 31, 2025, we have had no gross unrecognized tax benefits.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Equity Method Investment</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Prior to May 22, 2024, we accounted for our investment in OXB (US) LLC using the equity method of accounting and recorded our share of gains or losses from OXB (US) LLC on a quarterly basis. For the year ended December 31, 2024, we recorded a loss from equity method investment of $1.6 million, representing our share of OXB (US) LLC’s net loss. See Notes 2 and 7 to our consolidated financial statements included elsewhere in this Annual Report on Form 10-K for more information regarding the equity method of accounting.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and negative cash flows from operations. We have not yet commercialized any of our product candidates, which are in various phases of preclinical and clinical development, and we do not expect to generate revenue from sales of any products for several years, if at all. To date, we have funded our operations primarily through proceeds from the sales of our convertible preferred stock and convertible notes, as well as proceeds from our venture debt, the ADX-097 Asset Sale, the Horizon Collaboration Agreement, the Merger with Homology and accompanying Pre-Closing Financing. From inception through December 31, 2025, we have raised $136.0 million in aggregate cash proceeds, net of issuance costs, from the sale of our convertible preferred stock and convertible notes. In addition, we received $55.0 million in payments under the Horizon Collaboration Agreement, $12.5 million in proceeds from our venture debt, $61.3 million, net of issuance costs, in connection with the Merger with Homology, $42.0 million pursuant to the Pre-Closing Financing and $7.0 million pursuant to the ADX-097 Asset Sale. As of December 31, 2025, we had cash and cash equivalents of $48.3 million.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and, as of December 31, 2025, had an accumulated deficit of $205.0 million. We expect negative cash flows from operations and net losses for the foreseeable future as we continue to invest significantly in research and development of our product candidates and platform. We have not yet commercialized any product and do not expect to generate revenue from sales of any products for several years, if at all.</w:t>
      </w:r>
    </w:p>
    <w:p>
      <w:pPr>
        <w:spacing w:after="0" w:line="18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$48.3 million. We expect that our cash and cash equivalents as of December 31, 2025, combined with gross proceeds from our registered direct offering completed in February 2026 and guaranteed near-term milestone payments from the ADX-097 Asset Sale, will be sufficient to fund our operations into the fourth quarter of 2027. Management based its projections of operating capital requirements on our current operating plan, which includes several assumptions that may prove to be incorrect, and we may use all of our available capital resources sooner than management expects. We expect to seek to raise additional capital through private or public equity or debt financings, loans or other capital sources, which could include collaborations, partnerships or other marketing, distribution, licensing or other strategic arrangements with third parties, or from grants, and may be required to seek additional capital sooner than planned. However, there can be no assurances that we will be able to raise additional capital from these sources on favorable terms, or at all.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61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6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w:t>
            </w:r>
          </w:p>
        </w:tc>
        <w:tc>
          <w:tcPr>
            <w:tcW w:w="62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84"/>
              </w:rPr>
              <w:t>thousands)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(33,543)</w:t>
            </w:r>
          </w:p>
        </w:tc>
        <w:tc>
          <w:tcPr>
            <w:tcW w:w="48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(67,715)</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19,925</w:t>
            </w:r>
          </w:p>
        </w:tc>
        <w:tc>
          <w:tcPr>
            <w:tcW w:w="80" w:type="dxa"/>
            <w:vAlign w:val="bottom"/>
          </w:tcPr>
          <w:p>
            <w:pPr>
              <w:spacing w:after="0"/>
              <w:rPr>
                <w:sz w:val="18"/>
                <w:szCs w:val="18"/>
                <w:color w:val="auto"/>
              </w:rPr>
            </w:pPr>
          </w:p>
        </w:tc>
      </w:tr>
      <w:tr>
        <w:trPr>
          <w:trHeight w:val="216"/>
        </w:trPr>
        <w:tc>
          <w:tcPr>
            <w:tcW w:w="6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(3,125)</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95,138</w:t>
            </w:r>
          </w:p>
        </w:tc>
        <w:tc>
          <w:tcPr>
            <w:tcW w:w="80" w:type="dxa"/>
            <w:vAlign w:val="bottom"/>
            <w:shd w:val="clear" w:color="auto" w:fill="CFF0FC"/>
          </w:tcPr>
          <w:p>
            <w:pPr>
              <w:spacing w:after="0"/>
              <w:rPr>
                <w:sz w:val="18"/>
                <w:szCs w:val="18"/>
                <w:color w:val="auto"/>
              </w:rPr>
            </w:pPr>
          </w:p>
        </w:tc>
      </w:tr>
      <w:tr>
        <w:trPr>
          <w:trHeight w:val="20"/>
        </w:trPr>
        <w:tc>
          <w:tcPr>
            <w:tcW w:w="618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Increase/(decrease) in cash, cash equivalents and restricted cash</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(29,668)</w:t>
            </w:r>
          </w:p>
        </w:tc>
        <w:tc>
          <w:tcPr>
            <w:tcW w:w="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47,348</w:t>
            </w:r>
          </w:p>
        </w:tc>
        <w:tc>
          <w:tcPr>
            <w:tcW w:w="8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-170815</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invested in developing clinical programs, drug discovery efforts and related infrastructure.</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net cash used in operating activities was $33.5 million, which was primarily utilized for the funding of our operating expenses of $36.8 million as we incurred expenses associated with research and development activities including clinical trial activities associated with our bempikibart program. Non-cash gains include non-cash revenue from the settlement of our customer refund liability of $53.7 million as a result of the execution of the Amgen Amendment (see further discussion under “Collaboration and Arrangement Revenue” above), as well as a gain of $11.7 million recognized on the sale of ADX-097 to Akebia. These gains are partially offset by stock-based compensation expense of $5.3 million, non-cash lease expenses of $0.6 million and depreciation expense of $0.4 million. The change in net operating assets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91" w:name="page92"/>
    <w:bookmarkEnd w:id="91"/>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and liabilities was primarily attributable to a decrease in accrued expenses and other current liabilities of $3.3 million, a decrease in accounts payable of $2.1 million, and a decrease in our operating lease liability of $0.6 million, partially offset by a decrease in other noncurrent assets of $1.9 million and a decrease in prepaid expenses and other current assets of $0.1 million.</w:t>
      </w:r>
    </w:p>
    <w:p>
      <w:pPr>
        <w:spacing w:after="0" w:line="17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 xml:space="preserve">For the year ended December 31, 2024, </w:t>
      </w:r>
      <w:r>
        <w:rPr>
          <w:rFonts w:ascii="Times New Roman" w:cs="Times New Roman" w:eastAsia="Times New Roman" w:hAnsi="Times New Roman"/>
          <w:sz w:val="18"/>
          <w:szCs w:val="18"/>
          <w:color w:val="212529"/>
        </w:rPr>
        <w:t>net cash used in operating activities was $67.7 million, which was primarily utilized for the funding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operating expenses of $66.1 million as we incurred expenses associated with research and development activities including clinical trial activities associated with our bempikibart and ADX-097 programs, adjusted for non-cash expenses of $10.3 million. Non-cash expenses include a gain of $15.9 million recognized on the change in fair value prior to the conversion of the Convertible Notes pursuant to the Merger with Homology on March 25, 2024, a gain of $2.2 million recognized on the change in fair value of the CVR liability and amortization of premium on short-term investments of $0.2 million, partially offset by stock-based compensation expense of $4.4 million, losses related to our investment in OXB (US) LLC of $2.3 million, non-cash lease expenses of $0.6 million, depreciation expense of $0.5 million and amortization of debt discount and issuance costs of $0.2 million. The change in net operating assets and liabilities was primarily attributable to a decrease in accrued expenses and other current liabilities of $7.7 million, a decrease in accounts payable of $1.0 million, and a decrease in our operating lease liability of $1.5 million, partially offset by a decrease in other noncurrent assets of $0.4 million and a decrease in prepaid expenses and other current assets of $0.3 million.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2025, net cash provided by investing activities consisted of proceeds from the sale of ADX-097 to Akebia.</w:t>
      </w:r>
    </w:p>
    <w:p>
      <w:pPr>
        <w:spacing w:after="0" w:line="22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net cash provided by investing activities consisted of maturities of short-term investments during the period since the Merger, partially offset by purchases of property and equipment.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2025, net cash used in financing activities consisted of principal payments made pursuant to our venture debt.</w:t>
      </w:r>
    </w:p>
    <w:p>
      <w:pPr>
        <w:spacing w:after="0" w:line="22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net cash provided by financing activities consisted of $53.2 million of cash acquired as part of the Merger, $42.0 million of proceeds from the issuance of common stock in the pre-closing financing, $7.0 million of proceeds from the borrowings under a new loan and security agreement and $1.7 million of proceeds from the exercise of stock options, slightly offset by payments of $8.7 million of transaction costs related to the Merger.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Pre-Closing Financing</w:t>
      </w:r>
    </w:p>
    <w:p>
      <w:pPr>
        <w:spacing w:after="0" w:line="121"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7"/>
          <w:szCs w:val="17"/>
          <w:color w:val="auto"/>
        </w:rPr>
        <w:t>In connection with the Merger Agreement, certain third parties entered into the Pre-Closing Financing as described above under “Merger with Homology and the Pre-Closing Financing.” On the Closing Date, following approval by the stockholders of Legacy Q32 and Homology, the Pre-Closing Financing closed immediately prior to the consummation of the Merger. Shares of Legacy Q32’s common stock issued pursuant to the Pre-Closing Financing were converted into the right to receive 1,682,045 shares of Homology common stock, after taking into account the Reverse Stock Split.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research and development activities, particularly as we advance the preclinical activities and clinical trials of our product candidates. In addition, we expect to continue to incur additional costs associated with operating as a public company.</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product candidates, we are unable to estimate the exact amount and timing of our capital requirements. Our future funding requirements will depend on many factors, including:</w:t>
      </w:r>
    </w:p>
    <w:p>
      <w:pPr>
        <w:spacing w:after="0" w:line="54"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results, and costs of researching and developing bempikibart and conducting larger and later-stage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results, and costs of researching and developing other product candidates that we may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2" w:name="page93"/>
    <w:bookmarkEnd w:id="92"/>
    <w:p>
      <w:pPr>
        <w:ind w:left="1020" w:right="44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commercial-grade products and sufficient inventory to support commercial launch;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our products, should any of our product candidates receive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attracting, hiring, and retaining skilled personnel to support our operations and continued growth;</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maintain, and derive value from collaborations, partnerships or other marketing, distribution, licensing, or other strategic arrangements with third parties on favorable terms, if at all;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 if any.</w:t>
      </w:r>
    </w:p>
    <w:p>
      <w:pPr>
        <w:spacing w:after="0" w:line="22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plans may change in the future, and we may need additional capital to meet the capital requirements associated with such operating plans.</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based on our current operating plan, our cash and cash equivalents will enable us to fund our operating expenses and capital expenditure requirements into the fourth quarter of 2027. Management based its projections of operating capital requirements on our current operating plan, which includes several assumptions that may prove to be incorrect, and we may use all of our available capital resources sooner than we expect.</w:t>
      </w:r>
    </w:p>
    <w:p>
      <w:pPr>
        <w:spacing w:after="0" w:line="17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To complete the development of our product candidates and to build the sales, marketing and distribution infrastructure that management believes will be necessary to commercialize our product candidates, if approved, we will require substantial additional capital. Accordingly, until such time that we can generate sufficient revenue from product sales or other sources, if ever, management expects to seek to raise any necessary additional capital through private or public equity or debt financings, loans or other capital sources, which could include income from collaborations, partnerships or other marketing, distribution, licensing or other strategic arrangements with third parties, or from grants. To the extent that we raise additional capital through equity financings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including restricting our operations and limiting our ability to incur liens, issue additional debt, pay dividends, repurchase our own common stock, make certain investments or engage in merger, consolidation, licensing, or asset sale transactions. If we raise capital through collaborations, partnerships, and other similar arrangements with third parties, we may be required to grant rights to develop and market product candidates that we would otherwise prefer to develop and market ourselves. We may be unable to raise additional capital from these sources on favorable terms, or at all. Our ability to raise additional capital may be adversely impacted by potential worsening global economic conditions and the recent disruptions to, and volatility in, the credit and financial markets in the United States and worldwide resulting from recent bank failures. The failure to obtain sufficient capital on acceptable terms when needed could have a material adverse effect on our business, results of operations or financial condition, including requiring us to delay, reduce or curtail our research, product development or future commercialization efforts. We may also be required to license rights to product candidates at an earlier stage of development or on less favorable terms than we would otherwise choose. Management cannot provide assurance that we will ever generate positive cash flow from operating activities.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Obligations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lease space under an operating lease for administrative offices and lab space in Waltham, Massachusetts, which expires in December 2031.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3" w:name="page94"/>
    <w:bookmarkEnd w:id="93"/>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and commitments as of December 31, 2025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2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2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24"/>
              <w:spacing w:after="0" w:line="118" w:lineRule="exact"/>
              <w:rPr>
                <w:sz w:val="20"/>
                <w:szCs w:val="20"/>
                <w:color w:val="auto"/>
              </w:rPr>
            </w:pPr>
            <w:r>
              <w:rPr>
                <w:rFonts w:ascii="Times New Roman" w:cs="Times New Roman" w:eastAsia="Times New Roman" w:hAnsi="Times New Roman"/>
                <w:sz w:val="13"/>
                <w:szCs w:val="13"/>
                <w:b w:val="1"/>
                <w:bCs w:val="1"/>
                <w:color w:val="auto"/>
              </w:rPr>
              <w:t>More than 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7,061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3,374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2,421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have agreements with certain vendors for various services, including services related to preclinical and clinical operations and support, for which we are not contractually able to terminate for convenience and avoid any and all future obligations to the vendors. Our most significant contracts relate to agreements with CROs for clinical trials and preclinical studies and CDMOs, which we enter into in the normal course of business. Certain agreements provide for termination rights subject to termination fees or wind down costs. Under such agreements, we are contractually obligated to make certain payments to vendors to reimburse them for their unrecoverable outlays incurred prior to cancellation. The exact amounts of such obligations are dependent on the timing of termination and the exact terms of the relevant agreement and cannot be reasonably estimated. We do not include these payments in the table above as they are not fixed and estimable.</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we enter into standard indemnification agreements and/or indemnification sections in other agreements in the ordinary course of business. Pursuant to these agreements, we agree to indemnify, hold harmless and reimburse the indemnified party for losses suffered or incurred by the indemnified party, generally our business partners. The term of these indemnification agreements is generally perpetual upon execution of the agreement. The maximum potential amount of future payments we could be required to make under these indemnification agreements cannot be reasonably estimated and therefore is not included in the table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Bempikibart—License Agreement – Bristol-Myers Squibb Company</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September 2019, Legacy Q32 entered into a license agreement, as amended in August 2021 and July 2022 (the “BMS License Agreement”) with Bristol-Myers Squibb Company (“BMS”), pursuant to which we obtained sublicensable licenses from BMS to research, develop and commercialize licensed products, including bempikibart, for any and all uses worldwide. The licenses granted to us are exclusive with respect to BMS’s patent rights and know-how relating to certain antibody fragments (including certain fragments of bempikibart) and non-exclusive with respect to BMS’s patent rights and know-how relating to the composition of matter and use of a specific region of bempikibart. BMS retained the right for it and its affiliates to use the exclusively licensed patents and know-how for internal, preclinical research purposes. Under the BMS License Agreement, we are prohibited from engaging in certain clinical development or commercialization of any antibody other than a licensed compound with the same mechanism of action until the earlier of the expiration of our obligation to pay BMS royalties or September 2029.</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consideration for the license, we made an upfront payment to BMS of $8 million, issued 318,278 Series A preferred shares to BMS and agreed to use commercially reasonable efforts to develop and commercialize at least one licensed product in key geographic markets. In addition, we agreed to pay BMS (i) development and regulatory milestone payments in aggregate amounts ranging from $32 million to $49 million per indication for the first three indications and commercial milestone payments in an aggregate amount of up to $215 million on net sales of licensed products, (ii) tiered royalties ranging from rates in the mid-single digit percentages to up to 10% of net sales, with increasing rates depending on the cumulative net sales, (iii) up to 60% of sublicense income, which percentage decreases based on the development stage of bempikibart at the time of the sublicensing event, and (iv) ongoing fees associated with the prosecution, maintenance, or filing of the licensed patents.</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obligation to pay BMS royalties under subsection (ii) above commences, on a licensed product-by-licensed product and country-by-country basis, on the first commercial sale of a licensed product in a country and expires on the later of (x) 12 years from the first commercial sale of such licensed product in such country, (y) the last to expire licensed patent right covering bempikibart or such licensed product in such country, and (z) the expiration or regulatory or marketing exclusivity for such licensed product in such country (the “Royalty Term”). If we undergo a change of control prior to certain specified phase of development, the development and milestone payments are subject to increase by a low double digit percentage and the royalty rates are subject to increase by a low sub-single digit percentage.</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Unless terminated earlier by either party pursuant to its terms, the BMS License Agreement will expire on a country-by-country and licensed product-by-licensed product basis upon the expiration of the last to expire Royalty Term with respect to such licensed product in such country. Either party may terminate the BMS License Agreement for the other party’s material breach, subject to a specified notice and cure period. BMS may terminate the BMS License Agreement if we fail to meet our</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94" w:name="page95"/>
    <w:bookmarkEnd w:id="94"/>
    <w:p>
      <w:pPr>
        <w:spacing w:after="0" w:line="256" w:lineRule="auto"/>
        <w:rPr>
          <w:sz w:val="20"/>
          <w:szCs w:val="20"/>
          <w:color w:val="auto"/>
        </w:rPr>
      </w:pPr>
      <w:r>
        <w:rPr>
          <w:rFonts w:ascii="Times New Roman" w:cs="Times New Roman" w:eastAsia="Times New Roman" w:hAnsi="Times New Roman"/>
          <w:sz w:val="18"/>
          <w:szCs w:val="18"/>
          <w:color w:val="auto"/>
        </w:rPr>
        <w:t>diligence obligations under the BMS License Agreement, for our insolvency, or if we or our affiliates challenges the validity, scope, enforceability, or patentability of any of the licensed patents. We may terminate the BMS License Agreement for any reason upon prior written notice to BMS, with a longer notice period if a licensed product has received regulatory approval. If the BMS Agreement is terminated for our material breach, BMS will regain rights to bempikibart and we must grant BMS an exclusive license under our patent rights covering bempikibart, subject to a low single digit percentage royalty on net sales of bempikibart payable to us by BMS. We have the right to terminate the agreement for any reason upon written notice, and therefore, this agreement has not been included in the discussion above. In July 2024, we made a $4.0 million development milestone payment to BMS.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Bempikibart – Collaboration and Option Agreement, Asset Purchase Agreement and Termination Agreement – Horizon Therapeutics Ireland DAC</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From August 2022 until November 2023, Legacy Q32 was a party to the Horizon Agreements, pursuant to which Legacy Q32 received $55.0 million in initial consideration and staged development funding to complete two ongoing Phase 2 trials for bempikibart, and granted Horizon an option to acquire the bempikibart program at a prespecified price, subject to certain adjustments.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October 2023, Amgen completed the acquisition of Horizon plc. Following its acquisition of Horizon plc, Legacy Q32 agreed with Amgen to mutually terminate the Horizon Agreements and in November 2023, Legacy Q32 and Horizon entered into the Horizon Termination Agreement, pursuant to which Horizon’s option to acquire the bempikibart program was terminated. As a result, Legacy Q32 retained all initial consideration and development funding received under the Horizon Collaboration Agreement and regained full development and commercial rights to bempikibart. In consideration for the Horizon Termination Agreement, Legacy Q32 agreed to pay Horizon regulatory and sales milestones payments of up to an aggregate amount of $75.1 million upon the first achievement of certain regulatory and sales milestones with respect to bempikibart.</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November 7, 2025, we entered into the Amgen Amendment pursuant to which we issued Horizon a one-time equity grant of 553,695 shares of our common stock as full consideration of the milestone payments outlined in the Horizon Termination Agreement. Following the transactions contemplated by the Amgen Amendment, we have no remaining obligations to Amgen, including with respect to the $75.1 million in regulatory and sales-based milestone payments set forth in the Horizon Collaboration Agreement. Therefore, we derecognized the refund liability previously recorded for the $55.0 million of cash received under the Horizon Collaboration Agreement and recognized collaboration arrangement revenue for the difference between the equity issuance, and the refund liability as the consideration was no longer constrained.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ADX-097—License Agreement – The Regents of the University of Colorado</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August 2017, Legacy Q32 entered into an exclusive license agreement, as amended in February 2018, September 2018, and April 2019 (the “Colorado License Agreement”) with The Regents of the University of Colorado (“Colorado”), pursuant to which we obtained worldwide, royalty-bearing, sublicensable licenses under certain patents and know-how owned by Colorado and Medical University of South Carolina (“MUSC”), relating to the research, development and commercialization of ADX-097. The licenses granted to us are exclusive with respect to certain patent families and know-how and non-exclusive with certain other patent families and know-how. The licenses granted to us are also subject to certain customary retained rights of Colorado and MUSC and rights of the United States government owing to federal funding giving rise to inventions covered by the licensed patents. We agreed to use commercially reasonable efforts to develop, manufacture and commercialize ADX-097, including by using commercially reasonable efforts to achieve specified development and regulatory milestones by specified dates.</w:t>
      </w:r>
    </w:p>
    <w:p>
      <w:pPr>
        <w:spacing w:after="0" w:line="19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we agreed to pay Colorado (i) development and sales milestone payments in an aggregate amount of up to $2.2 million per licensed product for the first three products, (ii) tiered royalty rates on cumulative net sales of licensed products in the low single digit percentages, (iii) 15% of sublicense income and (iv) ongoing fees associated with the prosecution, maintenance, or filing of the licensed patents. Our obligation to pay royalties to Colorado commences, on a licensed product-by-licensed product and country-by-country basis, from the first commercial sale of a licensed product in any country and expires on the later of (i) the last to expire valid claim within the licensed patents covering such licensed product in such country, and (ii) 20 years following the effective date of the Colorado License Agreement, or April 2037, or the Royalty Term.</w:t>
      </w:r>
    </w:p>
    <w:p>
      <w:pPr>
        <w:spacing w:after="0" w:line="18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On November 28, 2025, in connection with the ADX-097 Asset Sale, the Colorado License Agreement was amended and restated and all of our rights and obligations thereunder were transferred to Akebia.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consolidated financial statements, which have been prepared in accordance with GAAP. The preparation of our consolidated financial statements and related disclosures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We consider many factors in selecting appropriate financial accounting policies and controls, and in developing the estimates and assumptions that are used in the preparation of these consolidated financial statements. We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we must select an amount that falls within that range of reasonable estimates. Actual results could materially differ from those estimates.</w:t>
      </w:r>
    </w:p>
    <w:p>
      <w:pPr>
        <w:spacing w:after="0" w:line="18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While our critical accounting policies are described in more detail in the notes to our consolidated financial statements appearing elsewhere in this Annual Report on Form 10-K, management believes that the following accounting policy is the most critical to the judgments and estimates used in the preparation of our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and Related Accrued and Prepaid Expenses</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are comprised of costs incurred in performing research and development activities, including salaries, stock-based compensation and benefits, costs for clinical research organizations, manufacturing expenses and costs of other outside vendors and other outsourced activities; laboratory supplies; technology licenses, software and other information technology support; facilities and depreciation.</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Upfront payments and milestone payments made for the licensing of technology are expensed as research and development expenses in the period in which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management is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Management makes estimates of its prepaid and accrued expenses as of each balance sheet date in its financial statements based on facts and circumstances known to us at that time. Management periodically confirms the accuracy of the estimates with the service providers and make adjustments if necessary. Examples of estimated prepaid and accrued research and development expenses include fees paid to:</w:t>
      </w:r>
    </w:p>
    <w:p>
      <w:pPr>
        <w:spacing w:after="0" w:line="84"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performing research services,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and clinical development activities;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CDMOs, related to product manufacturing, development and distribution of preclinical studies and clinical trial materials.</w:t>
      </w:r>
    </w:p>
    <w:p>
      <w:pPr>
        <w:spacing w:after="0" w:line="225"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Management bases the expense recorded related to contract research and manufacturing on its estimates of the services received and efforts expended pursuant to quotes and contracts with multiple CDMOs and CROs that supply materials and conduct services.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management estimates the time period over which services will be performed and the level of effort to be expended in each period. If the actual timing of the performance of services or the level of effort varies from the estimate, management adjusts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and certain recently adopted accounting pronouncements that have or may potentially impact our financial position and results of operations is included in Note 2 to our consolidated financial statements appearing elsewhere in this Annual Report on Form 10-K. We have determined that the effects of any such pronouncements will not have a material impact on our consolidated financial position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and are not required to provide the information under this item.</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on Form 10-K beginning on page F-1. An index of those financial statements is found in Item 15, Exhibits and Financial Statement Schedules,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our reports filed or submitted under the Exchange Act is recorded, processed, summarized and reported within the time period specified in the SEC’s rules and forms, and that such information is accumulated and communicated to management, including our Chief Executive Officer (principal executive officer) and Chief Financial Officer (principal financial officer), as appropriate, to allow timely decisions regarding required disclosure.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December 31, 2025 and, based on this evaluation, concluded that our internal control over financial reporting (as defined in Rules 13a-15(f) and 15d-15(f) under the Exchange Act) was effective as of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required by Rule 13a-15(d) and 15d-15(d) of the Exchange Act that occurred during the three months ended December 31, 2025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121"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No Rule 10b5-1 plans or non-Rule 10b5-1 trading arrangements, as defined in Item 408(c) of Regulation S-K, were adopted, modified, or terminated by officers or directors of the Company, nor were there any material changes to the procedures by which security holders may recommend nominees to the Company’s board of directors, during the three months ended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8" w:name="page99"/>
    <w:bookmarkEnd w:id="98"/>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adopted a Code of Conduct applicable to all officers, directors and other employees, including our principal executive officer, principal financial officer, principal accounting officer and controller, and persons performing similar functions. A copy of our Code of Conduct is available at the Investors &amp; Media section of our website, located at www.q32bio.com, under “Investors &amp; Media–Corporate Governance–Documents and Charters.” We intend to disclose on our website any amendments to, or waivers from, our Code of Conduct that are required to be disclosed pursuant to the rules of the SEC, as well as Nasdaq’s requirement to disclose waivers with respect to directors and executive officers. Information that is contained in and can be accessed through our website is not incorporated into, and does not form a part of, this Annual Report on Form 10-K.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1" w:right="47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(1) Financial Statements.</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For a list of the financial statements included herein, see Index to the Consolidated Financial Statements on page F-1 of this Annual Report on Form 10-K, incorporated into this Item by reference.</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 Financial Statement Schedules.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All financial schedules have been omitted because the required information is either presented in the consolidated financial statements or the notes thereto or is not applicable or required.</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40" w:type="dxa"/>
            <w:vAlign w:val="bottom"/>
            <w:gridSpan w:val="12"/>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40" w:type="dxa"/>
            <w:vAlign w:val="bottom"/>
            <w:tcBorders>
              <w:bottom w:val="single" w:sz="8" w:color="auto"/>
            </w:tcBorders>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4"/>
                <w:szCs w:val="14"/>
                <w:color w:val="auto"/>
              </w:rPr>
            </w:pPr>
          </w:p>
        </w:tc>
        <w:tc>
          <w:tcPr>
            <w:tcW w:w="956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Agreement and Plan of Merger, dated as of November 16, 2023, by and among Homology Medicines, Inc., Kenobi Merger Sub, Inc.</w:t>
              </w:r>
            </w:hyperlink>
          </w:p>
        </w:tc>
        <w:tc>
          <w:tcPr>
            <w:tcW w:w="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and Q32 Bio Inc (incorporated by reference to Exhibit 2.1 of the Registrant’s Registration Statement on form S-4 filed December 18,</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2023 (File No. 333-276093)).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Restated Certificate of Incorporation, as currently in effect (incorporated by reference to Exhibit 3.1 of the Registrant’s Form 8-K filed</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April 3, 2018 (File No. 001-38433)).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Certificate of Amendment to the Amended and Restated Certificate of Incorporation of the Company-reverse stock split and authorized</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share increase, dated March 25, 2024 (incorporated by reference to Exhibit 3.1 of the Registrant’s Form 8-K filed March 27,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(File No. 001-38433)).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6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Certificate of Amendment to the Amended and Restated Certificate of Incorporation of the Company-name change, dated March 25,</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2024 (incorporated by reference to Exhibit 3.2 of the Registrant’s Form 8-K filed March 27, 2024 (File No. 001-38433)).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5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Certificate of Amendment to the Amended and Restated Certificate of Incorporation of the Company-officer exculpation, dated June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16, 2025 (incorporated by reference to Exhibit 3.1 of the Registrant’s Form 8-K filed June 17, 2025 (File No. 001-38433)).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Amended and Restated Bylaws, as currently in effect (incorporated by reference to Exhibit 3.1 of the Registrant’s Form 8-K filed</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December 18, 2020 (File No. 001-38433)).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Description of Registrant’s Securities.</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Pre-Funded Warrant (incorporated by reference to Exhibit 4.1 of the Registrant’s Form 8-K</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filed February 17, 2026 (File No. 001-38433)).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Subscription Agreement, dated November 16, 2023, by and among Q32 Bio Operations Inc. (formerly Q32 Bio Inc.) and certain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10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parties thereto (incorporated by reference to Exhibit 10.1 of the Registrant’s Form 8-K filed March 27, 2024 (File No. 001-38433)).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1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Registration Rights Agreement, dated March 25, 2024, by and among Q32 Bio Operations Inc. (formerly Q32 Bio Inc.) and certain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1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parties thereto (incorporated by reference to Exhibit 10.2 of the Registrant’s Form 8-K filed March 27, 2024 (File No. 001-38433)).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1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Securities Purchase Agreement (incorporated by reference to Exhibit 10.1 of the Registrant’s Form 8-K filed February 17,</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1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2026 (File No. 001-38433)).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EE"/>
            </w:tcBorders>
            <w:gridSpan w:val="2"/>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Contingent Value Rights Agreement dated March 23, 2024, by and between Homology Medicines Inc. and Equiniti Trust Company,</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0" w:type="dxa"/>
            <w:vAlign w:val="bottom"/>
            <w:gridSpan w:val="6"/>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1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LLC (incorporated by reference to Exhibit 10.4 of the Registrant’s Form 8-K filed March 27, 2024 (File No. 001-38433)).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800" w:type="dxa"/>
            <w:vAlign w:val="bottom"/>
            <w:gridSpan w:val="6"/>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1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Indemnification Agreement for Officers of Q32 Bio Inc. (incorporated by reference to Exhibit 10.6 of the Registrant’s Form</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0" w:type="dxa"/>
            <w:vAlign w:val="bottom"/>
            <w:gridSpan w:val="6"/>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8-K filed March 27, 2024 (File No. 001-38433)).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800" w:type="dxa"/>
            <w:vAlign w:val="bottom"/>
            <w:gridSpan w:val="6"/>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Indemnification Agreement for Directors of Q32 Bio Inc. (incorporated by reference to Exhibit 10.7 of the Registrant’s Form</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0" w:type="dxa"/>
            <w:vAlign w:val="bottom"/>
            <w:gridSpan w:val="6"/>
            <w:shd w:val="clear" w:color="auto" w:fill="0000FF"/>
          </w:tcPr>
          <w:p>
            <w:pPr>
              <w:spacing w:after="0" w:line="20" w:lineRule="exact"/>
              <w:rPr>
                <w:sz w:val="1"/>
                <w:szCs w:val="1"/>
                <w:color w:val="auto"/>
              </w:rPr>
            </w:pPr>
          </w:p>
        </w:tc>
        <w:tc>
          <w:tcPr>
            <w:tcW w:w="2080" w:type="dxa"/>
            <w:vAlign w:val="bottom"/>
            <w:tcBorders>
              <w:right w:val="single" w:sz="8" w:color="0000FF"/>
            </w:tcBorders>
            <w:gridSpan w:val="4"/>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8-K filed March 27, 2024 (File No. 001-38433)).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800" w:type="dxa"/>
            <w:vAlign w:val="bottom"/>
            <w:gridSpan w:val="6"/>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Q32 Bio Inc. 2017 Stock Incentive Plan, and form of award agreements thereunder (incorporated by reference to Exhibit 10.8 of the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0" w:type="dxa"/>
            <w:vAlign w:val="bottom"/>
            <w:gridSpan w:val="6"/>
            <w:shd w:val="clear" w:color="auto" w:fill="0000FF"/>
          </w:tcPr>
          <w:p>
            <w:pPr>
              <w:spacing w:after="0" w:line="20" w:lineRule="exact"/>
              <w:rPr>
                <w:sz w:val="1"/>
                <w:szCs w:val="1"/>
                <w:color w:val="auto"/>
              </w:rPr>
            </w:pPr>
          </w:p>
        </w:tc>
        <w:tc>
          <w:tcPr>
            <w:tcW w:w="2080" w:type="dxa"/>
            <w:vAlign w:val="bottom"/>
            <w:tcBorders>
              <w:right w:val="single" w:sz="8" w:color="0000FF"/>
            </w:tcBorders>
            <w:gridSpan w:val="4"/>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Registrant’s Form 8-K filed March 27, 2024 (File No. 001-38433)).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800" w:type="dxa"/>
            <w:vAlign w:val="bottom"/>
            <w:gridSpan w:val="6"/>
            <w:shd w:val="clear" w:color="auto" w:fill="0000FF"/>
          </w:tcPr>
          <w:p>
            <w:pPr>
              <w:spacing w:after="0" w:line="20" w:lineRule="exact"/>
              <w:rPr>
                <w:sz w:val="1"/>
                <w:szCs w:val="1"/>
                <w:color w:val="auto"/>
              </w:rPr>
            </w:pPr>
          </w:p>
        </w:tc>
        <w:tc>
          <w:tcPr>
            <w:tcW w:w="2080" w:type="dxa"/>
            <w:vAlign w:val="bottom"/>
            <w:tcBorders>
              <w:right w:val="single" w:sz="8" w:color="0000EE"/>
            </w:tcBorders>
            <w:gridSpan w:val="4"/>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Q32 Bio Inc. 2024 Stock Option and Incentive Plan, and form of award agreements thereunder (incorporated by reference to Exhibit</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0" w:type="dxa"/>
            <w:vAlign w:val="bottom"/>
            <w:gridSpan w:val="6"/>
            <w:shd w:val="clear" w:color="auto" w:fill="0000FF"/>
          </w:tcPr>
          <w:p>
            <w:pPr>
              <w:spacing w:after="0" w:line="20" w:lineRule="exact"/>
              <w:rPr>
                <w:sz w:val="1"/>
                <w:szCs w:val="1"/>
                <w:color w:val="auto"/>
              </w:rPr>
            </w:pPr>
          </w:p>
        </w:tc>
        <w:tc>
          <w:tcPr>
            <w:tcW w:w="2900" w:type="dxa"/>
            <w:vAlign w:val="bottom"/>
            <w:tcBorders>
              <w:right w:val="single" w:sz="8" w:color="0000FF"/>
            </w:tcBorders>
            <w:gridSpan w:val="5"/>
            <w:shd w:val="clear" w:color="auto" w:fill="0000FF"/>
          </w:tcPr>
          <w:p>
            <w:pPr>
              <w:spacing w:after="0" w:line="20" w:lineRule="exact"/>
              <w:rPr>
                <w:sz w:val="1"/>
                <w:szCs w:val="1"/>
                <w:color w:val="auto"/>
              </w:rPr>
            </w:pPr>
          </w:p>
        </w:tc>
        <w:tc>
          <w:tcPr>
            <w:tcW w:w="36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color w:val="0000FF"/>
                </w:rPr>
                <w:t xml:space="preserve"> of the Registrant’s Form 8-K filed March 27, 2024 (File No. 001-38433)).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800" w:type="dxa"/>
            <w:vAlign w:val="bottom"/>
            <w:gridSpan w:val="6"/>
            <w:shd w:val="clear" w:color="auto" w:fill="0000FF"/>
          </w:tcPr>
          <w:p>
            <w:pPr>
              <w:spacing w:after="0" w:line="20" w:lineRule="exact"/>
              <w:rPr>
                <w:sz w:val="1"/>
                <w:szCs w:val="1"/>
                <w:color w:val="auto"/>
              </w:rPr>
            </w:pPr>
          </w:p>
        </w:tc>
        <w:tc>
          <w:tcPr>
            <w:tcW w:w="2900" w:type="dxa"/>
            <w:vAlign w:val="bottom"/>
            <w:tcBorders>
              <w:right w:val="single" w:sz="8" w:color="0000EE"/>
            </w:tcBorders>
            <w:gridSpan w:val="5"/>
            <w:shd w:val="clear" w:color="auto" w:fill="0000FF"/>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Q32 Bio Inc. 2024 Employee Stock Purchase Plan (incorporated by reference to Exhibit 10.10 of the Registrant’s Form 8-K filed</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0" w:type="dxa"/>
            <w:vAlign w:val="bottom"/>
            <w:gridSpan w:val="6"/>
            <w:shd w:val="clear" w:color="auto" w:fill="0000FF"/>
          </w:tcPr>
          <w:p>
            <w:pPr>
              <w:spacing w:after="0" w:line="20" w:lineRule="exact"/>
              <w:rPr>
                <w:sz w:val="1"/>
                <w:szCs w:val="1"/>
                <w:color w:val="auto"/>
              </w:rPr>
            </w:pPr>
          </w:p>
        </w:tc>
        <w:tc>
          <w:tcPr>
            <w:tcW w:w="6520" w:type="dxa"/>
            <w:vAlign w:val="bottom"/>
            <w:gridSpan w:val="10"/>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March 27, 2024 (File No. 001-38433)).</w:t>
              </w:r>
            </w:hyperlink>
          </w:p>
        </w:tc>
        <w:tc>
          <w:tcPr>
            <w:tcW w:w="0" w:type="dxa"/>
            <w:vAlign w:val="bottom"/>
          </w:tcPr>
          <w:p>
            <w:pPr>
              <w:spacing w:after="0"/>
              <w:rPr>
                <w:sz w:val="1"/>
                <w:szCs w:val="1"/>
                <w:color w:val="auto"/>
              </w:rPr>
            </w:pPr>
          </w:p>
        </w:tc>
      </w:tr>
      <w:tr>
        <w:trPr>
          <w:trHeight w:val="453"/>
        </w:trPr>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tcBorders>
              <w:top w:val="single" w:sz="8" w:color="0000FF"/>
            </w:tcBorders>
            <w:gridSpan w:val="6"/>
          </w:tcPr>
          <w:p>
            <w:pPr>
              <w:spacing w:after="0"/>
              <w:rPr>
                <w:sz w:val="24"/>
                <w:szCs w:val="24"/>
                <w:color w:val="auto"/>
              </w:rPr>
            </w:pPr>
          </w:p>
        </w:tc>
        <w:tc>
          <w:tcPr>
            <w:tcW w:w="2080" w:type="dxa"/>
            <w:vAlign w:val="bottom"/>
            <w:gridSpan w:val="4"/>
          </w:tcPr>
          <w:p>
            <w:pPr>
              <w:jc w:val="right"/>
              <w:ind w:right="588"/>
              <w:spacing w:after="0"/>
              <w:rPr>
                <w:sz w:val="20"/>
                <w:szCs w:val="20"/>
                <w:color w:val="auto"/>
              </w:rPr>
            </w:pPr>
            <w:r>
              <w:rPr>
                <w:rFonts w:ascii="Times New Roman" w:cs="Times New Roman" w:eastAsia="Times New Roman" w:hAnsi="Times New Roman"/>
                <w:sz w:val="18"/>
                <w:szCs w:val="18"/>
                <w:color w:val="auto"/>
              </w:rPr>
              <w:t>95</w:t>
            </w: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740" w:type="dxa"/>
            <w:vAlign w:val="bottom"/>
            <w:gridSpan w:val="18"/>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Q32 Bio Inc. Non-Employee Director Compensation Policy (incorporated by reference to Exhibit 10.11 of the Registrant’s Form 8-K</w:t>
              </w:r>
            </w:hyperlink>
          </w:p>
        </w:tc>
      </w:tr>
      <w:tr>
        <w:trPr>
          <w:trHeight w:val="20"/>
        </w:trPr>
        <w:tc>
          <w:tcPr>
            <w:tcW w:w="150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filed March 27, 2024 (File No. 001-38433)).</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Q32 Bio Inc. Senior Executive Cash Incentive Bonus Plan (incorporated by reference to Exhibit 10.12 of the Registrant’s Form 8-K</w:t>
              </w:r>
            </w:hyperlink>
          </w:p>
        </w:tc>
      </w:tr>
      <w:tr>
        <w:trPr>
          <w:trHeight w:val="20"/>
        </w:trPr>
        <w:tc>
          <w:tcPr>
            <w:tcW w:w="1500" w:type="dxa"/>
            <w:vAlign w:val="bottom"/>
          </w:tcPr>
          <w:p>
            <w:pPr>
              <w:spacing w:after="0" w:line="20" w:lineRule="exact"/>
              <w:rPr>
                <w:sz w:val="1"/>
                <w:szCs w:val="1"/>
                <w:color w:val="auto"/>
              </w:rPr>
            </w:pPr>
          </w:p>
        </w:tc>
        <w:tc>
          <w:tcPr>
            <w:tcW w:w="396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filed March 27, 2024 (File No. 001-38433)).</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Q32 Bio Inc. Warrant to Purchase Common Stock dated December 11, 2020 (incorporated by reference to Exhibit 10.13 of the</w:t>
              </w:r>
            </w:hyperlink>
          </w:p>
        </w:tc>
      </w:tr>
      <w:tr>
        <w:trPr>
          <w:trHeight w:val="20"/>
        </w:trPr>
        <w:tc>
          <w:tcPr>
            <w:tcW w:w="1500" w:type="dxa"/>
            <w:vAlign w:val="bottom"/>
          </w:tcPr>
          <w:p>
            <w:pPr>
              <w:spacing w:after="0" w:line="20" w:lineRule="exact"/>
              <w:rPr>
                <w:sz w:val="1"/>
                <w:szCs w:val="1"/>
                <w:color w:val="auto"/>
              </w:rPr>
            </w:pPr>
          </w:p>
        </w:tc>
        <w:tc>
          <w:tcPr>
            <w:tcW w:w="396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Registrant’s Form 8-K filed March 27, 2024 (File No. 001-38433)).</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396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Q32 Bio Inc. Warrant to Purchase Common Stock dated July 12, 2023 (incorporated by reference to Exhibit 10.14 of the Registrant’s</w:t>
              </w:r>
            </w:hyperlink>
          </w:p>
        </w:tc>
      </w:tr>
      <w:tr>
        <w:trPr>
          <w:trHeight w:val="20"/>
        </w:trPr>
        <w:tc>
          <w:tcPr>
            <w:tcW w:w="1500" w:type="dxa"/>
            <w:vAlign w:val="bottom"/>
          </w:tcPr>
          <w:p>
            <w:pPr>
              <w:spacing w:after="0" w:line="20" w:lineRule="exact"/>
              <w:rPr>
                <w:sz w:val="1"/>
                <w:szCs w:val="1"/>
                <w:color w:val="auto"/>
              </w:rPr>
            </w:pPr>
          </w:p>
        </w:tc>
        <w:tc>
          <w:tcPr>
            <w:tcW w:w="396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8-K filed March 27, 2024 (File No. 001-38433)).</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3960" w:type="dxa"/>
            <w:vAlign w:val="bottom"/>
            <w:tcBorders>
              <w:right w:val="single" w:sz="8" w:color="0000EE"/>
            </w:tcBorders>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Employment Agreement between Q32 Bio Inc. and Jodie Morrison, dated March 25, 2024 (incorporated by reference to Exhibit 10.15</w:t>
              </w:r>
            </w:hyperlink>
          </w:p>
        </w:tc>
      </w:tr>
      <w:tr>
        <w:trPr>
          <w:trHeight w:val="20"/>
        </w:trPr>
        <w:tc>
          <w:tcPr>
            <w:tcW w:w="1500" w:type="dxa"/>
            <w:vAlign w:val="bottom"/>
          </w:tcPr>
          <w:p>
            <w:pPr>
              <w:spacing w:after="0" w:line="20" w:lineRule="exact"/>
              <w:rPr>
                <w:sz w:val="1"/>
                <w:szCs w:val="1"/>
                <w:color w:val="auto"/>
              </w:rPr>
            </w:pPr>
          </w:p>
        </w:tc>
        <w:tc>
          <w:tcPr>
            <w:tcW w:w="5320" w:type="dxa"/>
            <w:vAlign w:val="bottom"/>
            <w:gridSpan w:val="4"/>
            <w:shd w:val="clear" w:color="auto" w:fill="0000FF"/>
          </w:tcPr>
          <w:p>
            <w:pPr>
              <w:spacing w:after="0" w:line="20" w:lineRule="exact"/>
              <w:rPr>
                <w:sz w:val="1"/>
                <w:szCs w:val="1"/>
                <w:color w:val="auto"/>
              </w:rPr>
            </w:pPr>
          </w:p>
        </w:tc>
        <w:tc>
          <w:tcPr>
            <w:tcW w:w="2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of the Registrant’s Form 8-K filed March 27, 2024 (File No. 001-38433)).</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5320" w:type="dxa"/>
            <w:vAlign w:val="bottom"/>
            <w:gridSpan w:val="4"/>
            <w:shd w:val="clear" w:color="auto" w:fill="0000FF"/>
          </w:tcPr>
          <w:p>
            <w:pPr>
              <w:spacing w:after="0" w:line="20" w:lineRule="exact"/>
              <w:rPr>
                <w:sz w:val="1"/>
                <w:szCs w:val="1"/>
                <w:color w:val="auto"/>
              </w:rPr>
            </w:pPr>
          </w:p>
        </w:tc>
        <w:tc>
          <w:tcPr>
            <w:tcW w:w="25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Employment Agreement between Q32 Bio Inc. and Lee Kalowski, dated March 25, 2024 (incorporated by reference to Exhibit 10.16</w:t>
              </w:r>
            </w:hyperlink>
          </w:p>
        </w:tc>
      </w:tr>
      <w:tr>
        <w:trPr>
          <w:trHeight w:val="20"/>
        </w:trPr>
        <w:tc>
          <w:tcPr>
            <w:tcW w:w="1500" w:type="dxa"/>
            <w:vAlign w:val="bottom"/>
          </w:tcPr>
          <w:p>
            <w:pPr>
              <w:spacing w:after="0" w:line="20" w:lineRule="exact"/>
              <w:rPr>
                <w:sz w:val="1"/>
                <w:szCs w:val="1"/>
                <w:color w:val="auto"/>
              </w:rPr>
            </w:pPr>
          </w:p>
        </w:tc>
        <w:tc>
          <w:tcPr>
            <w:tcW w:w="78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of the Registrant’s Form 8-K filed March 27, 2024 (File No. 001-38433)).</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5320" w:type="dxa"/>
            <w:vAlign w:val="bottom"/>
            <w:gridSpan w:val="4"/>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Employment Agreement between Q32 Bio Inc. and Shelia Violette, dated March 25, 2024 (incorporated by reference to Exhibit 10.18</w:t>
              </w:r>
            </w:hyperlink>
          </w:p>
        </w:tc>
      </w:tr>
      <w:tr>
        <w:trPr>
          <w:trHeight w:val="20"/>
        </w:trPr>
        <w:tc>
          <w:tcPr>
            <w:tcW w:w="1500" w:type="dxa"/>
            <w:vAlign w:val="bottom"/>
          </w:tcPr>
          <w:p>
            <w:pPr>
              <w:spacing w:after="0" w:line="20" w:lineRule="exact"/>
              <w:rPr>
                <w:sz w:val="1"/>
                <w:szCs w:val="1"/>
                <w:color w:val="auto"/>
              </w:rPr>
            </w:pPr>
          </w:p>
        </w:tc>
        <w:tc>
          <w:tcPr>
            <w:tcW w:w="78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of the Registrant’s Form 8-K filed March 27, 2024 (File No. 001-38433)).</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5320" w:type="dxa"/>
            <w:vAlign w:val="bottom"/>
            <w:gridSpan w:val="4"/>
            <w:shd w:val="clear" w:color="auto" w:fill="0000FF"/>
          </w:tcPr>
          <w:p>
            <w:pPr>
              <w:spacing w:after="0" w:line="20" w:lineRule="exact"/>
              <w:rPr>
                <w:sz w:val="1"/>
                <w:szCs w:val="1"/>
                <w:color w:val="auto"/>
              </w:rPr>
            </w:pPr>
          </w:p>
        </w:tc>
        <w:tc>
          <w:tcPr>
            <w:tcW w:w="25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Asset Purchase Agreement, dated August 12, 2022, by and between Q32 Bio Inc. and Horizon Therapeutics Ireland DAC</w:t>
              </w:r>
            </w:hyperlink>
          </w:p>
        </w:tc>
      </w:tr>
      <w:tr>
        <w:trPr>
          <w:trHeight w:val="20"/>
        </w:trPr>
        <w:tc>
          <w:tcPr>
            <w:tcW w:w="1500" w:type="dxa"/>
            <w:vAlign w:val="bottom"/>
          </w:tcPr>
          <w:p>
            <w:pPr>
              <w:spacing w:after="0" w:line="20" w:lineRule="exact"/>
              <w:rPr>
                <w:sz w:val="1"/>
                <w:szCs w:val="1"/>
                <w:color w:val="auto"/>
              </w:rPr>
            </w:pPr>
          </w:p>
        </w:tc>
        <w:tc>
          <w:tcPr>
            <w:tcW w:w="78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(incorporated by reference to Exhibit 10.36 of the Registrant’s Form S-4 filed on December 18, 2023 (File No. 333-276093)).</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78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License Agreement, dated as of September 14, 2019, between Q32 Bio Inc. and Bristol-Myers Squibb Company (incorporated by</w:t>
              </w:r>
            </w:hyperlink>
          </w:p>
        </w:tc>
      </w:tr>
      <w:tr>
        <w:trPr>
          <w:trHeight w:val="20"/>
        </w:trPr>
        <w:tc>
          <w:tcPr>
            <w:tcW w:w="1500" w:type="dxa"/>
            <w:vAlign w:val="bottom"/>
          </w:tcPr>
          <w:p>
            <w:pPr>
              <w:spacing w:after="0" w:line="20" w:lineRule="exact"/>
              <w:rPr>
                <w:sz w:val="1"/>
                <w:szCs w:val="1"/>
                <w:color w:val="auto"/>
              </w:rPr>
            </w:pPr>
          </w:p>
        </w:tc>
        <w:tc>
          <w:tcPr>
            <w:tcW w:w="78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reference to Exhibit 10.43 of the Registrant’s Form S-4 filed on December 18, 2023 (File No. 333-276093)).</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782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First Amendment to License Agreement, dated as of August 13, 2021, between Q32 Bio Inc. and Bristol-Myers Squibb Company</w:t>
              </w:r>
            </w:hyperlink>
          </w:p>
        </w:tc>
      </w:tr>
      <w:tr>
        <w:trPr>
          <w:trHeight w:val="20"/>
        </w:trPr>
        <w:tc>
          <w:tcPr>
            <w:tcW w:w="1500" w:type="dxa"/>
            <w:vAlign w:val="bottom"/>
          </w:tcPr>
          <w:p>
            <w:pPr>
              <w:spacing w:after="0" w:line="20" w:lineRule="exact"/>
              <w:rPr>
                <w:sz w:val="1"/>
                <w:szCs w:val="1"/>
                <w:color w:val="auto"/>
              </w:rPr>
            </w:pPr>
          </w:p>
        </w:tc>
        <w:tc>
          <w:tcPr>
            <w:tcW w:w="8040" w:type="dxa"/>
            <w:vAlign w:val="bottom"/>
            <w:tcBorders>
              <w:right w:val="single" w:sz="8" w:color="0000FF"/>
            </w:tcBorders>
            <w:gridSpan w:val="6"/>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(incorporated by reference to Exhibit 10.44 of the Registrant’s Form S-4 filed on December 18, 2023 (File No. 333-276093)).</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8040" w:type="dxa"/>
            <w:vAlign w:val="bottom"/>
            <w:tcBorders>
              <w:right w:val="single" w:sz="8" w:color="0000FF"/>
            </w:tcBorders>
            <w:gridSpan w:val="6"/>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Second Amendment to License Agreement, dated as of July 26, 2022, between Q32 Bio Inc. and Bristol-Myers Squibb Company</w:t>
              </w:r>
            </w:hyperlink>
          </w:p>
        </w:tc>
      </w:tr>
      <w:tr>
        <w:trPr>
          <w:trHeight w:val="20"/>
        </w:trPr>
        <w:tc>
          <w:tcPr>
            <w:tcW w:w="1500" w:type="dxa"/>
            <w:vAlign w:val="bottom"/>
          </w:tcPr>
          <w:p>
            <w:pPr>
              <w:spacing w:after="0" w:line="20" w:lineRule="exact"/>
              <w:rPr>
                <w:sz w:val="1"/>
                <w:szCs w:val="1"/>
                <w:color w:val="auto"/>
              </w:rPr>
            </w:pPr>
          </w:p>
        </w:tc>
        <w:tc>
          <w:tcPr>
            <w:tcW w:w="8040" w:type="dxa"/>
            <w:vAlign w:val="bottom"/>
            <w:tcBorders>
              <w:right w:val="single" w:sz="8" w:color="0000FF"/>
            </w:tcBorders>
            <w:gridSpan w:val="6"/>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(incorporated by reference to Exhibit 10.45 of the Registrant’s Form S-4 filed on December 18, 2023 (File No. 333-276093)).</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8040" w:type="dxa"/>
            <w:vAlign w:val="bottom"/>
            <w:tcBorders>
              <w:right w:val="single" w:sz="8" w:color="0000FF"/>
            </w:tcBorders>
            <w:gridSpan w:val="6"/>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Third Amendment to License Agreement, dated as of July 26, 2022, between Q32 Bio Inc. and Bristol-Myers Squibb Company</w:t>
              </w:r>
            </w:hyperlink>
          </w:p>
        </w:tc>
      </w:tr>
      <w:tr>
        <w:trPr>
          <w:trHeight w:val="20"/>
        </w:trPr>
        <w:tc>
          <w:tcPr>
            <w:tcW w:w="1500" w:type="dxa"/>
            <w:vAlign w:val="bottom"/>
          </w:tcPr>
          <w:p>
            <w:pPr>
              <w:spacing w:after="0" w:line="20" w:lineRule="exact"/>
              <w:rPr>
                <w:sz w:val="1"/>
                <w:szCs w:val="1"/>
                <w:color w:val="auto"/>
              </w:rPr>
            </w:pPr>
          </w:p>
        </w:tc>
        <w:tc>
          <w:tcPr>
            <w:tcW w:w="8040" w:type="dxa"/>
            <w:vAlign w:val="bottom"/>
            <w:tcBorders>
              <w:right w:val="single" w:sz="8" w:color="0000FF"/>
            </w:tcBorders>
            <w:gridSpan w:val="6"/>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(incorporated by reference to Exhibit 10.46 of the Registrant’s Form S-4 filed on December 18, 2023 (File No. 333-276093)).</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8040" w:type="dxa"/>
            <w:vAlign w:val="bottom"/>
            <w:tcBorders>
              <w:right w:val="single" w:sz="8" w:color="0000FF"/>
            </w:tcBorders>
            <w:gridSpan w:val="6"/>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Lease Agreement, dated March 20, 2021, by and between Q32 Bio Inc. and PPF OFF 828-830 WINTER STREET LLC (incorporated</w:t>
              </w:r>
            </w:hyperlink>
          </w:p>
        </w:tc>
      </w:tr>
      <w:tr>
        <w:trPr>
          <w:trHeight w:val="20"/>
        </w:trPr>
        <w:tc>
          <w:tcPr>
            <w:tcW w:w="1500" w:type="dxa"/>
            <w:vAlign w:val="bottom"/>
          </w:tcPr>
          <w:p>
            <w:pPr>
              <w:spacing w:after="0" w:line="20" w:lineRule="exact"/>
              <w:rPr>
                <w:sz w:val="1"/>
                <w:szCs w:val="1"/>
                <w:color w:val="auto"/>
              </w:rPr>
            </w:pPr>
          </w:p>
        </w:tc>
        <w:tc>
          <w:tcPr>
            <w:tcW w:w="8040" w:type="dxa"/>
            <w:vAlign w:val="bottom"/>
            <w:tcBorders>
              <w:right w:val="single" w:sz="8" w:color="0000FF"/>
            </w:tcBorders>
            <w:gridSpan w:val="6"/>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by reference to Exhibit 10.47 of the Registrant’s Form S-4 filed on December 18, 2023 (File No. 333-276093)).</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8040" w:type="dxa"/>
            <w:vAlign w:val="bottom"/>
            <w:tcBorders>
              <w:right w:val="single" w:sz="8" w:color="0000EE"/>
            </w:tcBorders>
            <w:gridSpan w:val="6"/>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Loan and Security Agreement, dated as of December 11, 2020, by and between Q32 Bio Inc. and Silicon Valley Bank, as amended</w:t>
              </w:r>
            </w:hyperlink>
          </w:p>
        </w:tc>
      </w:tr>
      <w:tr>
        <w:trPr>
          <w:trHeight w:val="20"/>
        </w:trPr>
        <w:tc>
          <w:tcPr>
            <w:tcW w:w="1500" w:type="dxa"/>
            <w:vAlign w:val="bottom"/>
          </w:tcPr>
          <w:p>
            <w:pPr>
              <w:spacing w:after="0" w:line="20" w:lineRule="exact"/>
              <w:rPr>
                <w:sz w:val="1"/>
                <w:szCs w:val="1"/>
                <w:color w:val="auto"/>
              </w:rPr>
            </w:pPr>
          </w:p>
        </w:tc>
        <w:tc>
          <w:tcPr>
            <w:tcW w:w="9040" w:type="dxa"/>
            <w:vAlign w:val="bottom"/>
            <w:gridSpan w:val="8"/>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(incorporated by reference to Exhibit 10.50 of the Registrant’s Form S-4 filed on December 18, 2023 (File No. 333-276093)).</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9040" w:type="dxa"/>
            <w:vAlign w:val="bottom"/>
            <w:gridSpan w:val="8"/>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First Amendment to Loan and Security Agreement, dated December 30, 2021, by and between Q32 Bio Inc. and Silicon Valley Bank</w:t>
              </w:r>
            </w:hyperlink>
          </w:p>
        </w:tc>
      </w:tr>
      <w:tr>
        <w:trPr>
          <w:trHeight w:val="20"/>
        </w:trPr>
        <w:tc>
          <w:tcPr>
            <w:tcW w:w="1500" w:type="dxa"/>
            <w:vAlign w:val="bottom"/>
          </w:tcPr>
          <w:p>
            <w:pPr>
              <w:spacing w:after="0" w:line="20" w:lineRule="exact"/>
              <w:rPr>
                <w:sz w:val="1"/>
                <w:szCs w:val="1"/>
                <w:color w:val="auto"/>
              </w:rPr>
            </w:pPr>
          </w:p>
        </w:tc>
        <w:tc>
          <w:tcPr>
            <w:tcW w:w="9040" w:type="dxa"/>
            <w:vAlign w:val="bottom"/>
            <w:gridSpan w:val="8"/>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(incorporated by reference to Exhibit 10.51 of the Registrant’s Form S-4 filed on December 18, 2023 (File No. 333-276093)).</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9040" w:type="dxa"/>
            <w:vAlign w:val="bottom"/>
            <w:gridSpan w:val="8"/>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Second Amendment to Loan and Security Agreement, dated June 30, 2022, by and between Q32 Bio Inc. and Silicon Valley Bank</w:t>
              </w:r>
            </w:hyperlink>
          </w:p>
        </w:tc>
      </w:tr>
      <w:tr>
        <w:trPr>
          <w:trHeight w:val="20"/>
        </w:trPr>
        <w:tc>
          <w:tcPr>
            <w:tcW w:w="1500" w:type="dxa"/>
            <w:vAlign w:val="bottom"/>
          </w:tcPr>
          <w:p>
            <w:pPr>
              <w:spacing w:after="0" w:line="20" w:lineRule="exact"/>
              <w:rPr>
                <w:sz w:val="1"/>
                <w:szCs w:val="1"/>
                <w:color w:val="auto"/>
              </w:rPr>
            </w:pPr>
          </w:p>
        </w:tc>
        <w:tc>
          <w:tcPr>
            <w:tcW w:w="9040" w:type="dxa"/>
            <w:vAlign w:val="bottom"/>
            <w:gridSpan w:val="8"/>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(incorporated by reference to Exhibit 10.52 of the Registrant’s Form S-4 filed on December 18, 2023 (File No. 333-276093)).</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9040" w:type="dxa"/>
            <w:vAlign w:val="bottom"/>
            <w:gridSpan w:val="8"/>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Third Amendment to Loan and Security Agreement, dated August 10, 2022, by and between Q32 Bio Inc. and Silicon Valley Bank</w:t>
              </w:r>
            </w:hyperlink>
          </w:p>
        </w:tc>
      </w:tr>
      <w:tr>
        <w:trPr>
          <w:trHeight w:val="20"/>
        </w:trPr>
        <w:tc>
          <w:tcPr>
            <w:tcW w:w="1500" w:type="dxa"/>
            <w:vAlign w:val="bottom"/>
          </w:tcPr>
          <w:p>
            <w:pPr>
              <w:spacing w:after="0" w:line="20" w:lineRule="exact"/>
              <w:rPr>
                <w:sz w:val="1"/>
                <w:szCs w:val="1"/>
                <w:color w:val="auto"/>
              </w:rPr>
            </w:pPr>
          </w:p>
        </w:tc>
        <w:tc>
          <w:tcPr>
            <w:tcW w:w="9040" w:type="dxa"/>
            <w:vAlign w:val="bottom"/>
            <w:gridSpan w:val="8"/>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5"/>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(incorporated by reference to Exhibit 10.53 of the Registrant’s Form S-4 filed on December 18, 2023 (File No. 333-276093)).</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9040" w:type="dxa"/>
            <w:vAlign w:val="bottom"/>
            <w:gridSpan w:val="8"/>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Fourth Amendment to Loan and Security Agreement, dated December 21, 2022, by and between Q32 Bio Inc. and Silicon Valley</w:t>
              </w:r>
            </w:hyperlink>
          </w:p>
        </w:tc>
      </w:tr>
      <w:tr>
        <w:trPr>
          <w:trHeight w:val="20"/>
        </w:trPr>
        <w:tc>
          <w:tcPr>
            <w:tcW w:w="1500" w:type="dxa"/>
            <w:vAlign w:val="bottom"/>
          </w:tcPr>
          <w:p>
            <w:pPr>
              <w:spacing w:after="0" w:line="20" w:lineRule="exact"/>
              <w:rPr>
                <w:sz w:val="1"/>
                <w:szCs w:val="1"/>
                <w:color w:val="auto"/>
              </w:rPr>
            </w:pPr>
          </w:p>
        </w:tc>
        <w:tc>
          <w:tcPr>
            <w:tcW w:w="9040" w:type="dxa"/>
            <w:vAlign w:val="bottom"/>
            <w:gridSpan w:val="8"/>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Bank (incorporated by reference to Exhibit 10.54 of the Registrant’s Form S-4 filed on December 18, 2023 (File No. 333-276093)).</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9040" w:type="dxa"/>
            <w:vAlign w:val="bottom"/>
            <w:gridSpan w:val="8"/>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Fifth Amendment to Loan and Security Agreement, dated April 26, 2023, by and between Q32 Bio Inc. and Silicon Valley Bank</w:t>
              </w:r>
            </w:hyperlink>
          </w:p>
        </w:tc>
      </w:tr>
      <w:tr>
        <w:trPr>
          <w:trHeight w:val="20"/>
        </w:trPr>
        <w:tc>
          <w:tcPr>
            <w:tcW w:w="1500" w:type="dxa"/>
            <w:vAlign w:val="bottom"/>
          </w:tcPr>
          <w:p>
            <w:pPr>
              <w:spacing w:after="0" w:line="20" w:lineRule="exact"/>
              <w:rPr>
                <w:sz w:val="1"/>
                <w:szCs w:val="1"/>
                <w:color w:val="auto"/>
              </w:rPr>
            </w:pPr>
          </w:p>
        </w:tc>
        <w:tc>
          <w:tcPr>
            <w:tcW w:w="9040" w:type="dxa"/>
            <w:vAlign w:val="bottom"/>
            <w:gridSpan w:val="8"/>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(incorporated by reference to Exhibit 10.55 of the Registrant’s Form S-4 filed on December 18, 2023 (File No. 333-276093)).</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9040" w:type="dxa"/>
            <w:vAlign w:val="bottom"/>
            <w:gridSpan w:val="8"/>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Sixth Amendment to Loan and Security Agreement, dated July 12, 2023, by and between Q32 Bio Inc. and Silicon Valley Bank</w:t>
              </w:r>
            </w:hyperlink>
          </w:p>
        </w:tc>
      </w:tr>
      <w:tr>
        <w:trPr>
          <w:trHeight w:val="20"/>
        </w:trPr>
        <w:tc>
          <w:tcPr>
            <w:tcW w:w="1500" w:type="dxa"/>
            <w:vAlign w:val="bottom"/>
          </w:tcPr>
          <w:p>
            <w:pPr>
              <w:spacing w:after="0" w:line="20" w:lineRule="exact"/>
              <w:rPr>
                <w:sz w:val="1"/>
                <w:szCs w:val="1"/>
                <w:color w:val="auto"/>
              </w:rPr>
            </w:pPr>
          </w:p>
        </w:tc>
        <w:tc>
          <w:tcPr>
            <w:tcW w:w="9040" w:type="dxa"/>
            <w:vAlign w:val="bottom"/>
            <w:gridSpan w:val="8"/>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(incorporated by reference to Exhibit 10.56 of the Registrant’s Form S-4 filed on December 18, 2023 (File No. 333-276093)).</w:t>
              </w:r>
            </w:hyperlink>
          </w:p>
        </w:tc>
      </w:tr>
      <w:tr>
        <w:trPr>
          <w:trHeight w:val="20"/>
        </w:trPr>
        <w:tc>
          <w:tcPr>
            <w:tcW w:w="1500" w:type="dxa"/>
            <w:vAlign w:val="bottom"/>
            <w:tcBorders>
              <w:right w:val="single" w:sz="8" w:color="0000FF"/>
            </w:tcBorders>
          </w:tcPr>
          <w:p>
            <w:pPr>
              <w:spacing w:after="0" w:line="20" w:lineRule="exact"/>
              <w:rPr>
                <w:sz w:val="1"/>
                <w:szCs w:val="1"/>
                <w:color w:val="auto"/>
              </w:rPr>
            </w:pPr>
          </w:p>
        </w:tc>
        <w:tc>
          <w:tcPr>
            <w:tcW w:w="9040" w:type="dxa"/>
            <w:vAlign w:val="bottom"/>
            <w:gridSpan w:val="8"/>
            <w:shd w:val="clear" w:color="auto" w:fill="0000EE"/>
          </w:tcPr>
          <w:p>
            <w:pPr>
              <w:spacing w:after="0" w:line="20" w:lineRule="exact"/>
              <w:rPr>
                <w:sz w:val="1"/>
                <w:szCs w:val="1"/>
                <w:color w:val="auto"/>
              </w:rPr>
            </w:pPr>
          </w:p>
        </w:tc>
        <w:tc>
          <w:tcPr>
            <w:tcW w:w="300" w:type="dxa"/>
            <w:vAlign w:val="bottom"/>
            <w:tcBorders>
              <w:left w:val="single" w:sz="8" w:color="0000EE"/>
            </w:tcBorders>
            <w:gridSpan w:val="4"/>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Seventh Amendment to Loan and Security Agreement, dated November 2, 2023, by and between Q32 Bio Inc. and Silicon Valley</w:t>
              </w:r>
            </w:hyperlink>
          </w:p>
        </w:tc>
      </w:tr>
      <w:tr>
        <w:trPr>
          <w:trHeight w:val="20"/>
        </w:trPr>
        <w:tc>
          <w:tcPr>
            <w:tcW w:w="1500" w:type="dxa"/>
            <w:vAlign w:val="bottom"/>
          </w:tcPr>
          <w:p>
            <w:pPr>
              <w:spacing w:after="0" w:line="20" w:lineRule="exact"/>
              <w:rPr>
                <w:sz w:val="1"/>
                <w:szCs w:val="1"/>
                <w:color w:val="auto"/>
              </w:rPr>
            </w:pPr>
          </w:p>
        </w:tc>
        <w:tc>
          <w:tcPr>
            <w:tcW w:w="9340" w:type="dxa"/>
            <w:vAlign w:val="bottom"/>
            <w:gridSpan w:val="12"/>
            <w:shd w:val="clear" w:color="auto" w:fill="0000FF"/>
          </w:tcPr>
          <w:p>
            <w:pPr>
              <w:spacing w:after="0" w:line="20" w:lineRule="exact"/>
              <w:rPr>
                <w:sz w:val="1"/>
                <w:szCs w:val="1"/>
                <w:color w:val="auto"/>
              </w:rPr>
            </w:pPr>
          </w:p>
        </w:tc>
        <w:tc>
          <w:tcPr>
            <w:tcW w:w="400" w:type="dxa"/>
            <w:vAlign w:val="bottom"/>
            <w:tcBorders>
              <w:left w:val="single" w:sz="8" w:color="0000FF"/>
            </w:tcBorders>
            <w:gridSpan w:val="6"/>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18"/>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Bank (incorporated by reference to Exhibit 10.57 of the Registrant’s Form S-4 filed on December 18, 2023 (File No. 333-276093)).</w:t>
              </w:r>
            </w:hyperlink>
          </w:p>
        </w:tc>
      </w:tr>
      <w:tr>
        <w:trPr>
          <w:trHeight w:val="453"/>
        </w:trPr>
        <w:tc>
          <w:tcPr>
            <w:tcW w:w="1500" w:type="dxa"/>
            <w:vAlign w:val="bottom"/>
          </w:tcPr>
          <w:p>
            <w:pPr>
              <w:spacing w:after="0"/>
              <w:rPr>
                <w:sz w:val="24"/>
                <w:szCs w:val="24"/>
                <w:color w:val="auto"/>
              </w:rPr>
            </w:pPr>
          </w:p>
        </w:tc>
        <w:tc>
          <w:tcPr>
            <w:tcW w:w="4880" w:type="dxa"/>
            <w:vAlign w:val="bottom"/>
            <w:tcBorders>
              <w:top w:val="single" w:sz="8" w:color="0000FF"/>
            </w:tcBorders>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96</w:t>
            </w:r>
          </w:p>
        </w:tc>
        <w:tc>
          <w:tcPr>
            <w:tcW w:w="440" w:type="dxa"/>
            <w:vAlign w:val="bottom"/>
            <w:tcBorders>
              <w:top w:val="single" w:sz="8" w:color="0000FF"/>
            </w:tcBorders>
          </w:tcPr>
          <w:p>
            <w:pPr>
              <w:spacing w:after="0"/>
              <w:rPr>
                <w:sz w:val="24"/>
                <w:szCs w:val="24"/>
                <w:color w:val="auto"/>
              </w:rPr>
            </w:pPr>
          </w:p>
        </w:tc>
        <w:tc>
          <w:tcPr>
            <w:tcW w:w="25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3"/>
        </w:trPr>
        <w:tc>
          <w:tcPr>
            <w:tcW w:w="15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9720" w:type="dxa"/>
            <w:vAlign w:val="bottom"/>
            <w:gridSpan w:val="12"/>
          </w:tcPr>
          <w:p>
            <w:pPr>
              <w:spacing w:after="0"/>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Consent and Eighth Amendment to Loan and Security Agreement, by and between Q32 Bio Inc. and Silicon Valley Bank, a division of</w:t>
              </w:r>
            </w:hyperlink>
          </w:p>
        </w:tc>
      </w:tr>
      <w:tr>
        <w:trPr>
          <w:trHeight w:val="20"/>
        </w:trPr>
        <w:tc>
          <w:tcPr>
            <w:tcW w:w="15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20" w:type="dxa"/>
            <w:vAlign w:val="bottom"/>
            <w:gridSpan w:val="12"/>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First-Citizens Bank &amp; Trust Company, dated March 22, 2024 (incorporated by reference to Exhibit 10.5 of the Registrant’s Form 8-K</w:t>
              </w:r>
            </w:hyperlink>
          </w:p>
        </w:tc>
      </w:tr>
      <w:tr>
        <w:trPr>
          <w:trHeight w:val="20"/>
        </w:trPr>
        <w:tc>
          <w:tcPr>
            <w:tcW w:w="15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20" w:type="dxa"/>
            <w:vAlign w:val="bottom"/>
            <w:gridSpan w:val="12"/>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filed March 27, 2024 (File No. 001-38433)).</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EE"/>
            </w:tcBorders>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10.32*†+</w:t>
            </w:r>
          </w:p>
        </w:tc>
        <w:tc>
          <w:tcPr>
            <w:tcW w:w="9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Asset Purchase Agreement, dated November 28, 2025, by and among Q32 Bio Inc., Q32 Bio Operations Inc. and Akebia Therapeutics,</w:t>
            </w:r>
          </w:p>
        </w:tc>
      </w:tr>
      <w:tr>
        <w:trPr>
          <w:trHeight w:val="20"/>
        </w:trPr>
        <w:tc>
          <w:tcPr>
            <w:tcW w:w="15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Inc.</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9720" w:type="dxa"/>
            <w:vAlign w:val="bottom"/>
            <w:gridSpan w:val="12"/>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Insider Trading Policy (incorporated by reference to Exhibit 19.1 of the Registrant’s Form 10-K filed March 11, 2025 (File No. 001-</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1180" w:type="dxa"/>
            <w:vAlign w:val="bottom"/>
            <w:gridSpan w:val="3"/>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38433)</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9720" w:type="dxa"/>
            <w:vAlign w:val="bottom"/>
            <w:gridSpan w:val="12"/>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Subsidiaries of the Registrant (incorporated by reference to Exhibit 21.1 of the Registrant’s Form 10-K/A filed April 12, 2024 (File</w:t>
              </w:r>
            </w:hyperlink>
          </w:p>
        </w:tc>
      </w:tr>
      <w:tr>
        <w:trPr>
          <w:trHeight w:val="20"/>
        </w:trPr>
        <w:tc>
          <w:tcPr>
            <w:tcW w:w="150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20" w:type="dxa"/>
            <w:vAlign w:val="bottom"/>
            <w:gridSpan w:val="12"/>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No. 001-38433)).</w:t>
              </w:r>
            </w:hyperlink>
          </w:p>
        </w:tc>
      </w:tr>
      <w:tr>
        <w:trPr>
          <w:trHeight w:val="20"/>
        </w:trPr>
        <w:tc>
          <w:tcPr>
            <w:tcW w:w="1500" w:type="dxa"/>
            <w:vAlign w:val="bottom"/>
            <w:tcBorders>
              <w:right w:val="single" w:sz="8" w:color="0000FF"/>
            </w:tcBorders>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9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 of the Registrant.</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150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45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150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816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816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81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8360" w:type="dxa"/>
            <w:vAlign w:val="bottom"/>
            <w:gridSpan w:val="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82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9720" w:type="dxa"/>
            <w:vAlign w:val="bottom"/>
            <w:gridSpan w:val="12"/>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Compensation Recovery Policy (incorporated by reference to Exhibit 97.1 of the Registrant’s Form 10-K/A filed April 12, 2024 (File</w:t>
              </w:r>
            </w:hyperlink>
          </w:p>
        </w:tc>
      </w:tr>
      <w:tr>
        <w:trPr>
          <w:trHeight w:val="20"/>
        </w:trPr>
        <w:tc>
          <w:tcPr>
            <w:tcW w:w="150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846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20" w:type="dxa"/>
            <w:vAlign w:val="bottom"/>
            <w:gridSpan w:val="12"/>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No. 001-38433))</w:t>
              </w:r>
              <w:r>
                <w:rPr>
                  <w:rFonts w:ascii="Times New Roman" w:cs="Times New Roman" w:eastAsia="Times New Roman" w:hAnsi="Times New Roman"/>
                  <w:sz w:val="18"/>
                  <w:szCs w:val="18"/>
                  <w:color w:val="000000"/>
                </w:rPr>
                <w:t>.</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8540" w:type="dxa"/>
            <w:vAlign w:val="bottom"/>
            <w:gridSpan w:val="9"/>
          </w:tcPr>
          <w:p>
            <w:pPr>
              <w:spacing w:after="0" w:line="20" w:lineRule="exact"/>
              <w:rPr>
                <w:sz w:val="1"/>
                <w:szCs w:val="1"/>
                <w:color w:val="auto"/>
              </w:rPr>
            </w:pPr>
          </w:p>
        </w:tc>
      </w:tr>
      <w:tr>
        <w:trPr>
          <w:trHeight w:val="21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16"/>
        </w:trPr>
        <w:tc>
          <w:tcPr>
            <w:tcW w:w="1500" w:type="dxa"/>
            <w:vAlign w:val="bottom"/>
          </w:tcPr>
          <w:p>
            <w:pPr>
              <w:spacing w:after="0"/>
              <w:rPr>
                <w:sz w:val="18"/>
                <w:szCs w:val="18"/>
                <w:color w:val="auto"/>
              </w:rPr>
            </w:pPr>
          </w:p>
        </w:tc>
        <w:tc>
          <w:tcPr>
            <w:tcW w:w="9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4230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0"/>
          <w:szCs w:val="20"/>
          <w:color w:val="auto"/>
        </w:rPr>
      </w:pPr>
    </w:p>
    <w:p>
      <w:pPr>
        <w:ind w:right="60" w:firstLine="8"/>
        <w:spacing w:after="0" w:line="255" w:lineRule="auto"/>
        <w:tabs>
          <w:tab w:leader="none" w:pos="22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This certification will not be deemed “filed” for purposes of Section 18 of the Securities Exchange Act of 1934, as amended, or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10" w:lineRule="exact"/>
        <w:rPr>
          <w:sz w:val="20"/>
          <w:szCs w:val="20"/>
          <w:color w:val="auto"/>
        </w:rPr>
      </w:pPr>
    </w:p>
    <w:p>
      <w:pPr>
        <w:ind w:right="120" w:firstLine="8"/>
        <w:spacing w:after="0" w:line="273" w:lineRule="auto"/>
        <w:tabs>
          <w:tab w:leader="none" w:pos="1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by means of marking such portions with brackets (“[***]”) because the identified confidential portions (i) are not material and (ii) is the type of information that the registrant treats as private or confidential.</w:t>
      </w:r>
    </w:p>
    <w:p>
      <w:pPr>
        <w:spacing w:after="0" w:line="2" w:lineRule="exact"/>
        <w:rPr>
          <w:sz w:val="20"/>
          <w:szCs w:val="20"/>
          <w:color w:val="auto"/>
        </w:rPr>
      </w:pPr>
    </w:p>
    <w:p>
      <w:pPr>
        <w:ind w:right="260" w:firstLine="8"/>
        <w:spacing w:after="0" w:line="266" w:lineRule="auto"/>
        <w:tabs>
          <w:tab w:leader="none" w:pos="1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Annexes, schedules and exhibits have been omitted pursuant to Item 601(b)(2) or 601(a)(5), as applicable, of Regulation S-K. The registrant agrees to furnish supplementally a copy of any omitted attachment to the SEC on a confidential basis upon request.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any compensatory plan, contract or arrangement.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4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Q32 BIO INC.</w:t>
            </w:r>
          </w:p>
        </w:tc>
      </w:tr>
      <w:tr>
        <w:trPr>
          <w:trHeight w:val="432"/>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March 10, 2026</w:t>
            </w:r>
          </w:p>
        </w:tc>
        <w:tc>
          <w:tcPr>
            <w:tcW w:w="764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rPr>
              <w:t>/s/ Jodie Morrison</w:t>
            </w:r>
          </w:p>
        </w:tc>
      </w:tr>
      <w:tr>
        <w:trPr>
          <w:trHeight w:val="205"/>
        </w:trPr>
        <w:tc>
          <w:tcPr>
            <w:tcW w:w="3600" w:type="dxa"/>
            <w:vAlign w:val="bottom"/>
          </w:tcPr>
          <w:p>
            <w:pPr>
              <w:spacing w:after="0"/>
              <w:rPr>
                <w:sz w:val="17"/>
                <w:szCs w:val="17"/>
                <w:color w:val="auto"/>
              </w:rPr>
            </w:pPr>
          </w:p>
        </w:tc>
        <w:tc>
          <w:tcPr>
            <w:tcW w:w="764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 Jodie Morrison</w:t>
            </w:r>
          </w:p>
        </w:tc>
      </w:tr>
      <w:tr>
        <w:trPr>
          <w:trHeight w:val="234"/>
        </w:trPr>
        <w:tc>
          <w:tcPr>
            <w:tcW w:w="3600" w:type="dxa"/>
            <w:vAlign w:val="bottom"/>
          </w:tcPr>
          <w:p>
            <w:pPr>
              <w:spacing w:after="0"/>
              <w:rPr>
                <w:sz w:val="20"/>
                <w:szCs w:val="20"/>
                <w:color w:val="auto"/>
              </w:rPr>
            </w:pPr>
          </w:p>
        </w:tc>
        <w:tc>
          <w:tcPr>
            <w:tcW w:w="76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 Chief Executive Officer and Director</w:t>
            </w:r>
          </w:p>
        </w:tc>
      </w:tr>
    </w:tbl>
    <w:p>
      <w:pPr>
        <w:spacing w:after="0" w:line="19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31"/>
        </w:trPr>
        <w:tc>
          <w:tcPr>
            <w:tcW w:w="3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 Jodie Morrison</w:t>
            </w:r>
          </w:p>
        </w:tc>
        <w:tc>
          <w:tcPr>
            <w:tcW w:w="10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28"/>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Jodie Morrison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33"/>
        </w:trPr>
        <w:tc>
          <w:tcPr>
            <w:tcW w:w="35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Lee Kalowski</w:t>
            </w:r>
          </w:p>
        </w:tc>
        <w:tc>
          <w:tcPr>
            <w:tcW w:w="10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Financial Officer and President</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03"/>
        </w:trPr>
        <w:tc>
          <w:tcPr>
            <w:tcW w:w="350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Lee Kalowski</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i w:val="1"/>
                <w:iCs w:val="1"/>
                <w:color w:val="auto"/>
                <w:w w:val="99"/>
              </w:rPr>
              <w:t>Principal Financial Officer and Principal</w:t>
            </w: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36"/>
        </w:trPr>
        <w:tc>
          <w:tcPr>
            <w:tcW w:w="3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338"/>
        </w:trPr>
        <w:tc>
          <w:tcPr>
            <w:tcW w:w="3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 David Grayzel</w:t>
            </w:r>
          </w:p>
        </w:tc>
        <w:tc>
          <w:tcPr>
            <w:tcW w:w="10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28"/>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David Grayzel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33"/>
        </w:trPr>
        <w:tc>
          <w:tcPr>
            <w:tcW w:w="35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Diyong Xu</w:t>
            </w:r>
          </w:p>
        </w:tc>
        <w:tc>
          <w:tcPr>
            <w:tcW w:w="10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28"/>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Diyong Xu</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46"/>
        </w:trPr>
        <w:tc>
          <w:tcPr>
            <w:tcW w:w="3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Isaac Manke</w:t>
            </w:r>
          </w:p>
        </w:tc>
        <w:tc>
          <w:tcPr>
            <w:tcW w:w="10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28"/>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Isaac Manke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46"/>
        </w:trPr>
        <w:tc>
          <w:tcPr>
            <w:tcW w:w="3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Arthur Tzianabos</w:t>
            </w:r>
          </w:p>
        </w:tc>
        <w:tc>
          <w:tcPr>
            <w:tcW w:w="10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28"/>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Arthur Tzianabos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46"/>
        </w:trPr>
        <w:tc>
          <w:tcPr>
            <w:tcW w:w="3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Kathleen LaPorte</w:t>
            </w:r>
          </w:p>
        </w:tc>
        <w:tc>
          <w:tcPr>
            <w:tcW w:w="10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28"/>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Kathleen LaPorte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46"/>
        </w:trPr>
        <w:tc>
          <w:tcPr>
            <w:tcW w:w="3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 Mary Thistle</w:t>
            </w:r>
          </w:p>
        </w:tc>
        <w:tc>
          <w:tcPr>
            <w:tcW w:w="10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28"/>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Mary Thistle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46"/>
        </w:trPr>
        <w:tc>
          <w:tcPr>
            <w:tcW w:w="3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 Mark Iwicki</w:t>
            </w:r>
          </w:p>
        </w:tc>
        <w:tc>
          <w:tcPr>
            <w:tcW w:w="10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28"/>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Mark Iwicki</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46"/>
        </w:trPr>
        <w:tc>
          <w:tcPr>
            <w:tcW w:w="3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 Bill Lundberg</w:t>
            </w:r>
          </w:p>
        </w:tc>
        <w:tc>
          <w:tcPr>
            <w:tcW w:w="10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2026</w:t>
            </w:r>
          </w:p>
        </w:tc>
      </w:tr>
      <w:tr>
        <w:trPr>
          <w:trHeight w:val="228"/>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Bill Lundberg</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643"/>
        </w:trPr>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gridSpan w:val="2"/>
          </w:tcPr>
          <w:p>
            <w:pPr>
              <w:jc w:val="right"/>
              <w:ind w:right="3071"/>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7440" w:type="dxa"/>
            <w:vAlign w:val="bottom"/>
            <w:gridSpan w:val="9"/>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640" w:type="dxa"/>
            <w:vAlign w:val="bottom"/>
          </w:tcPr>
          <w:p>
            <w:pPr>
              <w:spacing w:after="0"/>
              <w:rPr>
                <w:sz w:val="20"/>
                <w:szCs w:val="20"/>
                <w:color w:val="auto"/>
              </w:rPr>
            </w:pPr>
          </w:p>
        </w:tc>
      </w:tr>
      <w:tr>
        <w:trPr>
          <w:trHeight w:val="418"/>
        </w:trPr>
        <w:tc>
          <w:tcPr>
            <w:tcW w:w="106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0042)</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3160" w:type="dxa"/>
            <w:vAlign w:val="bottom"/>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6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20" w:type="dxa"/>
            <w:vAlign w:val="bottom"/>
            <w:tcBorders>
              <w:bottom w:val="single" w:sz="8" w:color="0000EE"/>
            </w:tcBorders>
          </w:tcPr>
          <w:p>
            <w:pPr>
              <w:spacing w:after="0"/>
              <w:rPr>
                <w:sz w:val="17"/>
                <w:szCs w:val="17"/>
                <w:color w:val="auto"/>
              </w:rPr>
            </w:pPr>
          </w:p>
        </w:tc>
        <w:tc>
          <w:tcPr>
            <w:tcW w:w="5920" w:type="dxa"/>
            <w:vAlign w:val="bottom"/>
            <w:gridSpan w:val="6"/>
          </w:tcPr>
          <w:p>
            <w:pPr>
              <w:spacing w:after="0"/>
              <w:rPr>
                <w:sz w:val="17"/>
                <w:szCs w:val="17"/>
                <w:color w:val="auto"/>
              </w:rPr>
            </w:pPr>
          </w:p>
        </w:tc>
        <w:tc>
          <w:tcPr>
            <w:tcW w:w="64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196"/>
        </w:trPr>
        <w:tc>
          <w:tcPr>
            <w:tcW w:w="106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2025 and 2024</w:t>
            </w:r>
          </w:p>
        </w:tc>
        <w:tc>
          <w:tcPr>
            <w:tcW w:w="64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3160" w:type="dxa"/>
            <w:vAlign w:val="bottom"/>
            <w:shd w:val="clear" w:color="auto" w:fill="0000FF"/>
          </w:tcPr>
          <w:p>
            <w:pPr>
              <w:spacing w:after="0" w:line="20" w:lineRule="exact"/>
              <w:rPr>
                <w:sz w:val="1"/>
                <w:szCs w:val="1"/>
                <w:color w:val="auto"/>
              </w:rPr>
            </w:pPr>
          </w:p>
        </w:tc>
        <w:tc>
          <w:tcPr>
            <w:tcW w:w="330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Years ended December 31, 2025 and 2024</w:t>
            </w:r>
          </w:p>
        </w:tc>
        <w:tc>
          <w:tcPr>
            <w:tcW w:w="20" w:type="dxa"/>
            <w:vAlign w:val="bottom"/>
            <w:tcBorders>
              <w:bottom w:val="single" w:sz="8" w:color="0000EE"/>
            </w:tcBorders>
          </w:tcPr>
          <w:p>
            <w:pPr>
              <w:spacing w:after="0"/>
              <w:rPr>
                <w:sz w:val="17"/>
                <w:szCs w:val="17"/>
                <w:color w:val="auto"/>
              </w:rPr>
            </w:pPr>
          </w:p>
        </w:tc>
        <w:tc>
          <w:tcPr>
            <w:tcW w:w="2700" w:type="dxa"/>
            <w:vAlign w:val="bottom"/>
            <w:gridSpan w:val="2"/>
          </w:tcPr>
          <w:p>
            <w:pPr>
              <w:spacing w:after="0"/>
              <w:rPr>
                <w:sz w:val="17"/>
                <w:szCs w:val="17"/>
                <w:color w:val="auto"/>
              </w:rPr>
            </w:pPr>
          </w:p>
        </w:tc>
        <w:tc>
          <w:tcPr>
            <w:tcW w:w="64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1022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Convertible Preferred Stock and Stockholders’ Equity (Deficit) for the Years ended December 31, 2025 and 2024</w:t>
            </w:r>
          </w:p>
        </w:tc>
        <w:tc>
          <w:tcPr>
            <w:tcW w:w="380" w:type="dxa"/>
            <w:vAlign w:val="bottom"/>
          </w:tcPr>
          <w:p>
            <w:pPr>
              <w:spacing w:after="0"/>
              <w:rPr>
                <w:sz w:val="17"/>
                <w:szCs w:val="17"/>
                <w:color w:val="auto"/>
              </w:rPr>
            </w:pPr>
          </w:p>
        </w:tc>
        <w:tc>
          <w:tcPr>
            <w:tcW w:w="64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196"/>
        </w:trPr>
        <w:tc>
          <w:tcPr>
            <w:tcW w:w="106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and 2024</w:t>
            </w:r>
          </w:p>
        </w:tc>
        <w:tc>
          <w:tcPr>
            <w:tcW w:w="64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w w:val="95"/>
              </w:rPr>
              <w:t>F-8</w:t>
            </w:r>
          </w:p>
        </w:tc>
      </w:tr>
      <w:tr>
        <w:trPr>
          <w:trHeight w:val="196"/>
        </w:trPr>
        <w:tc>
          <w:tcPr>
            <w:tcW w:w="650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4100" w:type="dxa"/>
            <w:vAlign w:val="bottom"/>
            <w:gridSpan w:val="4"/>
          </w:tcPr>
          <w:p>
            <w:pPr>
              <w:spacing w:after="0"/>
              <w:rPr>
                <w:sz w:val="17"/>
                <w:szCs w:val="17"/>
                <w:color w:val="auto"/>
              </w:rPr>
            </w:pPr>
          </w:p>
        </w:tc>
        <w:tc>
          <w:tcPr>
            <w:tcW w:w="64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w w:val="95"/>
              </w:rPr>
              <w:t>F-9</w:t>
            </w:r>
          </w:p>
        </w:tc>
      </w:tr>
      <w:tr>
        <w:trPr>
          <w:trHeight w:val="669"/>
        </w:trPr>
        <w:tc>
          <w:tcPr>
            <w:tcW w:w="3160" w:type="dxa"/>
            <w:vAlign w:val="bottom"/>
            <w:tcBorders>
              <w:top w:val="single" w:sz="8" w:color="0000FF"/>
            </w:tcBorders>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6"/>
          </w:tcPr>
          <w:p>
            <w:pPr>
              <w:jc w:val="center"/>
              <w:ind w:right="4040"/>
              <w:spacing w:after="0"/>
              <w:rPr>
                <w:sz w:val="20"/>
                <w:szCs w:val="20"/>
                <w:color w:val="auto"/>
              </w:rPr>
            </w:pPr>
            <w:r>
              <w:rPr>
                <w:rFonts w:ascii="Times New Roman" w:cs="Times New Roman" w:eastAsia="Times New Roman" w:hAnsi="Times New Roman"/>
                <w:sz w:val="18"/>
                <w:szCs w:val="18"/>
                <w:color w:val="auto"/>
                <w:w w:val="95"/>
              </w:rPr>
              <w:t>F-1</w:t>
            </w:r>
          </w:p>
        </w:tc>
        <w:tc>
          <w:tcPr>
            <w:tcW w:w="640" w:type="dxa"/>
            <w:vAlign w:val="bottom"/>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4" w:name="page105"/>
    <w:bookmarkEnd w:id="104"/>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Stockholders and the Board of Directors of Q32 Bio </w:t>
      </w:r>
      <w:r>
        <w:rPr>
          <w:rFonts w:ascii="Times New Roman" w:cs="Times New Roman" w:eastAsia="Times New Roman" w:hAnsi="Times New Roman"/>
          <w:sz w:val="18"/>
          <w:szCs w:val="18"/>
          <w:color w:val="333333"/>
        </w:rPr>
        <w:t>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Q32 Bio Inc. (the Company) as of December 31, 2025 and 2024, the related consolidated statements of operations, comprehensive income (loss), convertible preferred stock and stockholders’ equity (deficit)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 to which it relates.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5" w:name="page106"/>
    <w:bookmarkEnd w:id="105"/>
    <w:p>
      <w:pPr>
        <w:ind w:left="3060"/>
        <w:spacing w:after="0"/>
        <w:rPr>
          <w:sz w:val="20"/>
          <w:szCs w:val="20"/>
          <w:color w:val="auto"/>
        </w:rPr>
      </w:pPr>
      <w:r>
        <w:rPr>
          <w:rFonts w:ascii="Times New Roman" w:cs="Times New Roman" w:eastAsia="Times New Roman" w:hAnsi="Times New Roman"/>
          <w:sz w:val="18"/>
          <w:szCs w:val="18"/>
          <w:b w:val="1"/>
          <w:bCs w:val="1"/>
          <w:i w:val="1"/>
          <w:iCs w:val="1"/>
          <w:color w:val="auto"/>
        </w:rPr>
        <w:t>Accrued and Prepaid Research and Development Expenses</w:t>
      </w:r>
    </w:p>
    <w:p>
      <w:pPr>
        <w:spacing w:after="0" w:line="31" w:lineRule="exact"/>
        <w:rPr>
          <w:sz w:val="20"/>
          <w:szCs w:val="20"/>
          <w:color w:val="auto"/>
        </w:rPr>
      </w:pPr>
    </w:p>
    <w:p>
      <w:pPr>
        <w:jc w:val="both"/>
        <w:ind w:left="3060" w:hanging="2948"/>
        <w:spacing w:after="0" w:line="251" w:lineRule="auto"/>
        <w:tabs>
          <w:tab w:leader="none" w:pos="304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The Company’s accrued external research and development expenses totaled $0.5 million at December 31, 2025. In addition, the Company’s prepaid external research and development expenses totaled $0.5 million at December 31, 2025. As discussed in Note 2 to the consolidated financial statements, the Company is required to estimate external research and development expenses. This process involves analyzing the progress of the research activities, including the phase or completion of events, invoices received and contracted costs, reviewing open contracts and purchase orders, communicating with internal personnel to identify services that have been performed on the Company’s behalf and estimating the level of service performed and the associated cost incurred for the service when the Company has not yet been invoiced or otherwise notified of the actual cost. The financial terms of these agreements are subject to negotiation, vary from contract to contract and may result in uneven payment flows.</w:t>
      </w:r>
    </w:p>
    <w:p>
      <w:pPr>
        <w:spacing w:after="0" w:line="193" w:lineRule="exact"/>
        <w:rPr>
          <w:sz w:val="20"/>
          <w:szCs w:val="20"/>
          <w:color w:val="auto"/>
        </w:rPr>
      </w:pPr>
    </w:p>
    <w:p>
      <w:pPr>
        <w:jc w:val="both"/>
        <w:ind w:left="3060"/>
        <w:spacing w:after="0" w:line="256" w:lineRule="auto"/>
        <w:rPr>
          <w:sz w:val="20"/>
          <w:szCs w:val="20"/>
          <w:color w:val="auto"/>
        </w:rPr>
      </w:pPr>
      <w:r>
        <w:rPr>
          <w:rFonts w:ascii="Times New Roman" w:cs="Times New Roman" w:eastAsia="Times New Roman" w:hAnsi="Times New Roman"/>
          <w:sz w:val="18"/>
          <w:szCs w:val="18"/>
          <w:color w:val="auto"/>
        </w:rPr>
        <w:t>Auditing the Company’s accrued and prepaid external research and development expenses was complex, as the amounts are based on various estimates from third-party vendors, as well as other inputs estimated by members of management, such as, actual costs incurred but not yet billed, estimated project timelines, and the costs associated with these services. Furthermore, due to the duration of the Company’s external research and development activities and the timing of invoices received from third parties, the actual amounts incurred are not typically known by the date the financial statements are issued.</w:t>
      </w:r>
    </w:p>
    <w:p>
      <w:pPr>
        <w:spacing w:after="0" w:line="185" w:lineRule="exact"/>
        <w:rPr>
          <w:sz w:val="20"/>
          <w:szCs w:val="20"/>
          <w:color w:val="auto"/>
        </w:rPr>
      </w:pPr>
    </w:p>
    <w:p>
      <w:pPr>
        <w:ind w:left="100"/>
        <w:spacing w:after="0"/>
        <w:tabs>
          <w:tab w:leader="none" w:pos="3040" w:val="left"/>
        </w:tabs>
        <w:rPr>
          <w:sz w:val="20"/>
          <w:szCs w:val="20"/>
          <w:color w:val="auto"/>
        </w:rPr>
      </w:pPr>
      <w:r>
        <w:rPr>
          <w:rFonts w:ascii="Times New Roman" w:cs="Times New Roman" w:eastAsia="Times New Roman" w:hAnsi="Times New Roman"/>
          <w:sz w:val="18"/>
          <w:szCs w:val="18"/>
          <w:i w:val="1"/>
          <w:iCs w:val="1"/>
          <w:color w:val="auto"/>
        </w:rPr>
        <w:t>How We Addressed the Matter in</w:t>
      </w:r>
      <w:r>
        <w:rPr>
          <w:sz w:val="20"/>
          <w:szCs w:val="20"/>
          <w:color w:val="auto"/>
        </w:rPr>
        <w:tab/>
      </w:r>
      <w:r>
        <w:rPr>
          <w:rFonts w:ascii="Times New Roman" w:cs="Times New Roman" w:eastAsia="Times New Roman" w:hAnsi="Times New Roman"/>
          <w:sz w:val="18"/>
          <w:szCs w:val="18"/>
          <w:color w:val="auto"/>
        </w:rPr>
        <w:t>To evaluate the accrued and prepaid research and development expenses, our audit procedures included, among</w:t>
      </w:r>
    </w:p>
    <w:p>
      <w:pPr>
        <w:spacing w:after="0" w:line="29" w:lineRule="exact"/>
        <w:rPr>
          <w:sz w:val="20"/>
          <w:szCs w:val="20"/>
          <w:color w:val="auto"/>
        </w:rPr>
      </w:pPr>
    </w:p>
    <w:p>
      <w:pPr>
        <w:jc w:val="both"/>
        <w:ind w:left="3060" w:hanging="2948"/>
        <w:spacing w:after="0" w:line="251" w:lineRule="auto"/>
        <w:tabs>
          <w:tab w:leader="none" w:pos="3040" w:val="left"/>
        </w:tabs>
        <w:rPr>
          <w:sz w:val="20"/>
          <w:szCs w:val="20"/>
          <w:color w:val="auto"/>
        </w:rPr>
      </w:pPr>
      <w:r>
        <w:rPr>
          <w:rFonts w:ascii="Times New Roman" w:cs="Times New Roman" w:eastAsia="Times New Roman" w:hAnsi="Times New Roman"/>
          <w:sz w:val="18"/>
          <w:szCs w:val="18"/>
          <w:i w:val="1"/>
          <w:iCs w:val="1"/>
          <w:color w:val="auto"/>
        </w:rPr>
        <w:t>Our Audit</w:t>
      </w:r>
      <w:r>
        <w:rPr>
          <w:sz w:val="20"/>
          <w:szCs w:val="20"/>
          <w:color w:val="auto"/>
        </w:rPr>
        <w:tab/>
      </w:r>
      <w:r>
        <w:rPr>
          <w:rFonts w:ascii="Times New Roman" w:cs="Times New Roman" w:eastAsia="Times New Roman" w:hAnsi="Times New Roman"/>
          <w:sz w:val="18"/>
          <w:szCs w:val="18"/>
          <w:color w:val="auto"/>
        </w:rPr>
        <w:t>others, testing the accuracy and completeness of the underlying data used in the estimates and evaluating the judgments and estimates made by management to determine the recorded accruals and prepayments. To test the judgments and estimates, we corroborated the progress of research and development activities through discussion with the Company’s research and development personnel that oversee the research and development projects and inspected the Company’s contracts with vendors and pending change orders to assess the impact on amounts recorded. We obtained direct confirmations from certain vendors confirming costs incurred as of the reporting date to verify that prepaids and accruals are complete and accurate. We also analyzed fluctuations in prepaids and accruals by vendor and by clinical trial throughout the period subject to audit and tested subsequent invoices received from vendors.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Q32 BIO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48,297</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77,965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81,877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w:t>
            </w: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operating leases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and restricted cash equivalents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8"/>
                <w:szCs w:val="18"/>
                <w:color w:val="auto"/>
              </w:rPr>
            </w:pPr>
          </w:p>
        </w:tc>
      </w:tr>
      <w:tr>
        <w:trPr>
          <w:trHeight w:val="250"/>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61,776</w:t>
            </w:r>
          </w:p>
        </w:tc>
        <w:tc>
          <w:tcPr>
            <w:tcW w:w="1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92,332</w:t>
            </w:r>
          </w:p>
        </w:tc>
        <w:tc>
          <w:tcPr>
            <w:tcW w:w="100" w:type="dxa"/>
            <w:vAlign w:val="bottom"/>
            <w:shd w:val="clear" w:color="auto" w:fill="CFF0FC"/>
          </w:tcPr>
          <w:p>
            <w:pPr>
              <w:spacing w:after="0"/>
              <w:rPr>
                <w:sz w:val="21"/>
                <w:szCs w:val="21"/>
                <w:color w:val="auto"/>
              </w:rPr>
            </w:pPr>
          </w:p>
        </w:tc>
      </w:tr>
      <w:tr>
        <w:trPr>
          <w:trHeight w:val="197"/>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6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CVR liability</w:t>
            </w: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Venture debt, current portion</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Venture debt, net of current portion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shd w:val="clear" w:color="auto" w:fill="CFF0FC"/>
          </w:tcPr>
          <w:p>
            <w:pPr>
              <w:spacing w:after="0"/>
              <w:rPr>
                <w:sz w:val="18"/>
                <w:szCs w:val="18"/>
                <w:color w:val="auto"/>
              </w:rPr>
            </w:pPr>
          </w:p>
        </w:tc>
      </w:tr>
      <w:tr>
        <w:trPr>
          <w:trHeight w:val="209"/>
        </w:trPr>
        <w:tc>
          <w:tcPr>
            <w:tcW w:w="77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19,762</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86,657</w:t>
            </w:r>
          </w:p>
        </w:tc>
        <w:tc>
          <w:tcPr>
            <w:tcW w:w="100" w:type="dxa"/>
            <w:vAlign w:val="bottom"/>
            <w:tcBorders>
              <w:top w:val="single" w:sz="8" w:color="CFF0FC"/>
            </w:tcBorders>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issued and outstanding at December 31, 2025 and December 31, 2024</w:t>
            </w:r>
          </w:p>
        </w:tc>
        <w:tc>
          <w:tcPr>
            <w:tcW w:w="3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400,000,000 shares authorized,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12,858,047 and 12,197,615 shares issued and outstanding at December 31, 2025</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2024, respectively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247,005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240,487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(204,993)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(234,814)</w:t>
            </w:r>
          </w:p>
        </w:tc>
      </w:tr>
      <w:tr>
        <w:trPr>
          <w:trHeight w:val="209"/>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42,014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61,776</w:t>
            </w:r>
          </w:p>
        </w:tc>
        <w:tc>
          <w:tcPr>
            <w:tcW w:w="16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92,332</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-3102610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-3085465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-3085465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-2253615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-1696720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7" w:name="page108"/>
    <w:bookmarkEnd w:id="10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Q32 BIO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7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arrangement revenue</w:t>
            </w:r>
          </w:p>
        </w:tc>
        <w:tc>
          <w:tcPr>
            <w:tcW w:w="10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53,737</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48,143</w:t>
            </w: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17,679</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17,959</w:t>
            </w:r>
          </w:p>
        </w:tc>
        <w:tc>
          <w:tcPr>
            <w:tcW w:w="100" w:type="dxa"/>
            <w:vAlign w:val="bottom"/>
          </w:tcPr>
          <w:p>
            <w:pPr>
              <w:spacing w:after="0"/>
              <w:rPr>
                <w:sz w:val="18"/>
                <w:szCs w:val="18"/>
                <w:color w:val="auto"/>
              </w:rPr>
            </w:pPr>
          </w:p>
        </w:tc>
      </w:tr>
      <w:tr>
        <w:trPr>
          <w:trHeight w:val="209"/>
        </w:trPr>
        <w:tc>
          <w:tcPr>
            <w:tcW w:w="70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36,835</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(66,102)</w:t>
            </w:r>
          </w:p>
        </w:tc>
      </w:tr>
      <w:tr>
        <w:trPr>
          <w:trHeight w:val="210"/>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6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15,890</w:t>
            </w: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asset</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6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20,015</w:t>
            </w:r>
          </w:p>
        </w:tc>
        <w:tc>
          <w:tcPr>
            <w:tcW w:w="100" w:type="dxa"/>
            <w:vAlign w:val="bottom"/>
          </w:tcPr>
          <w:p>
            <w:pPr>
              <w:spacing w:after="0"/>
              <w:rPr>
                <w:sz w:val="18"/>
                <w:szCs w:val="18"/>
                <w:color w:val="auto"/>
              </w:rPr>
            </w:pPr>
          </w:p>
        </w:tc>
      </w:tr>
      <w:tr>
        <w:trPr>
          <w:trHeight w:val="210"/>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 and loss from equity method investment</w:t>
            </w: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(46,087)</w:t>
            </w: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(1,625)</w:t>
            </w:r>
          </w:p>
        </w:tc>
      </w:tr>
      <w:tr>
        <w:trPr>
          <w:trHeight w:val="20"/>
        </w:trPr>
        <w:tc>
          <w:tcPr>
            <w:tcW w:w="708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29,821</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(47,733)</w:t>
            </w:r>
          </w:p>
        </w:tc>
      </w:tr>
      <w:tr>
        <w:trPr>
          <w:trHeight w:val="20"/>
        </w:trPr>
        <w:tc>
          <w:tcPr>
            <w:tcW w:w="7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share—basic</w:t>
            </w: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2.42</w:t>
            </w:r>
          </w:p>
        </w:tc>
        <w:tc>
          <w:tcPr>
            <w:tcW w:w="64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(5.12)</w:t>
            </w:r>
          </w:p>
        </w:tc>
      </w:tr>
      <w:tr>
        <w:trPr>
          <w:trHeight w:val="20"/>
        </w:trPr>
        <w:tc>
          <w:tcPr>
            <w:tcW w:w="70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7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share—diluted</w:t>
            </w:r>
          </w:p>
        </w:tc>
        <w:tc>
          <w:tcPr>
            <w:tcW w:w="66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2.42</w:t>
            </w:r>
          </w:p>
        </w:tc>
        <w:tc>
          <w:tcPr>
            <w:tcW w:w="6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(6.58)</w:t>
            </w:r>
          </w:p>
        </w:tc>
      </w:tr>
      <w:tr>
        <w:trPr>
          <w:trHeight w:val="20"/>
        </w:trPr>
        <w:tc>
          <w:tcPr>
            <w:tcW w:w="7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0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shares—basic</w:t>
            </w:r>
          </w:p>
        </w:tc>
        <w:tc>
          <w:tcPr>
            <w:tcW w:w="6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12,300,568</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9,320,884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7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shares—diluted</w:t>
            </w:r>
          </w:p>
        </w:tc>
        <w:tc>
          <w:tcPr>
            <w:tcW w:w="6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12,314,796</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9,657,696</w:t>
            </w:r>
          </w:p>
        </w:tc>
        <w:tc>
          <w:tcPr>
            <w:tcW w:w="100" w:type="dxa"/>
            <w:vAlign w:val="bottom"/>
          </w:tcPr>
          <w:p>
            <w:pPr>
              <w:spacing w:after="0"/>
              <w:rPr>
                <w:sz w:val="17"/>
                <w:szCs w:val="17"/>
                <w:color w:val="auto"/>
              </w:rPr>
            </w:pPr>
          </w:p>
        </w:tc>
      </w:tr>
      <w:tr>
        <w:trPr>
          <w:trHeight w:val="20"/>
        </w:trPr>
        <w:tc>
          <w:tcPr>
            <w:tcW w:w="7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-1953895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-1388110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-822325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-513715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-496570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8" w:name="page109"/>
    <w:bookmarkEnd w:id="10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Q32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2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29,821</w:t>
            </w:r>
          </w:p>
        </w:tc>
        <w:tc>
          <w:tcPr>
            <w:tcW w:w="12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(47,733)</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Change in unrealized gain (loss) on available for</w:t>
            </w:r>
          </w:p>
        </w:tc>
        <w:tc>
          <w:tcPr>
            <w:tcW w:w="20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7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sale securities, net</w:t>
            </w:r>
          </w:p>
        </w:tc>
        <w:tc>
          <w:tcPr>
            <w:tcW w:w="20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gain (loss)</w:t>
            </w:r>
          </w:p>
        </w:tc>
        <w:tc>
          <w:tcPr>
            <w:tcW w:w="20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29,821</w:t>
            </w:r>
          </w:p>
        </w:tc>
        <w:tc>
          <w:tcPr>
            <w:tcW w:w="12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(47,733)</w:t>
            </w: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9" w:name="page110"/>
    <w:bookmarkEnd w:id="109"/>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Q32 BIO INC.</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CONSOLIDATED STATEMENTS OF CONVERTIBLE PREFERRED STOCK AND STOCKHOLDERS’ EQUITY (DEFICIT)</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40" w:type="dxa"/>
            <w:vAlign w:val="bottom"/>
          </w:tcPr>
          <w:p>
            <w:pPr>
              <w:spacing w:after="0"/>
              <w:rPr>
                <w:sz w:val="11"/>
                <w:szCs w:val="11"/>
                <w:color w:val="auto"/>
              </w:rPr>
            </w:pPr>
          </w:p>
        </w:tc>
        <w:tc>
          <w:tcPr>
            <w:tcW w:w="176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Series A Convertible</w:t>
            </w:r>
          </w:p>
        </w:tc>
        <w:tc>
          <w:tcPr>
            <w:tcW w:w="1660" w:type="dxa"/>
            <w:vAlign w:val="bottom"/>
            <w:gridSpan w:val="5"/>
            <w:vMerge w:val="restart"/>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Series A-1 Convertible</w:t>
            </w:r>
          </w:p>
        </w:tc>
        <w:tc>
          <w:tcPr>
            <w:tcW w:w="1640" w:type="dxa"/>
            <w:vAlign w:val="bottom"/>
            <w:tcBorders>
              <w:right w:val="single" w:sz="8" w:color="auto"/>
            </w:tcBorders>
            <w:gridSpan w:val="6"/>
            <w:vMerge w:val="restart"/>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Series B Convertible</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0"/>
        </w:trPr>
        <w:tc>
          <w:tcPr>
            <w:tcW w:w="1940" w:type="dxa"/>
            <w:vAlign w:val="bottom"/>
          </w:tcPr>
          <w:p>
            <w:pPr>
              <w:spacing w:after="0"/>
              <w:rPr>
                <w:sz w:val="9"/>
                <w:szCs w:val="9"/>
                <w:color w:val="auto"/>
              </w:rPr>
            </w:pPr>
          </w:p>
        </w:tc>
        <w:tc>
          <w:tcPr>
            <w:tcW w:w="1760" w:type="dxa"/>
            <w:vAlign w:val="bottom"/>
            <w:gridSpan w:val="6"/>
            <w:vMerge w:val="continue"/>
          </w:tcPr>
          <w:p>
            <w:pPr>
              <w:spacing w:after="0"/>
              <w:rPr>
                <w:sz w:val="9"/>
                <w:szCs w:val="9"/>
                <w:color w:val="auto"/>
              </w:rPr>
            </w:pPr>
          </w:p>
        </w:tc>
        <w:tc>
          <w:tcPr>
            <w:tcW w:w="1660" w:type="dxa"/>
            <w:vAlign w:val="bottom"/>
            <w:gridSpan w:val="5"/>
            <w:vMerge w:val="continue"/>
          </w:tcPr>
          <w:p>
            <w:pPr>
              <w:spacing w:after="0"/>
              <w:rPr>
                <w:sz w:val="9"/>
                <w:szCs w:val="9"/>
                <w:color w:val="auto"/>
              </w:rPr>
            </w:pPr>
          </w:p>
        </w:tc>
        <w:tc>
          <w:tcPr>
            <w:tcW w:w="1640" w:type="dxa"/>
            <w:vAlign w:val="bottom"/>
            <w:tcBorders>
              <w:right w:val="single" w:sz="8" w:color="auto"/>
            </w:tcBorders>
            <w:gridSpan w:val="6"/>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760" w:type="dxa"/>
            <w:vAlign w:val="bottom"/>
            <w:gridSpan w:val="6"/>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Borders>
              <w:right w:val="single" w:sz="8" w:color="auto"/>
            </w:tcBorders>
            <w:gridSpan w:val="6"/>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00" w:type="dxa"/>
            <w:vAlign w:val="bottom"/>
          </w:tcPr>
          <w:p>
            <w:pPr>
              <w:spacing w:after="0"/>
              <w:rPr>
                <w:sz w:val="11"/>
                <w:szCs w:val="11"/>
                <w:color w:val="auto"/>
              </w:rPr>
            </w:pPr>
          </w:p>
        </w:tc>
        <w:tc>
          <w:tcPr>
            <w:tcW w:w="1100" w:type="dxa"/>
            <w:vAlign w:val="bottom"/>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Paid in</w:t>
            </w:r>
          </w:p>
        </w:tc>
        <w:tc>
          <w:tcPr>
            <w:tcW w:w="100" w:type="dxa"/>
            <w:vAlign w:val="bottom"/>
          </w:tcPr>
          <w:p>
            <w:pPr>
              <w:spacing w:after="0"/>
              <w:rPr>
                <w:sz w:val="11"/>
                <w:szCs w:val="11"/>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15"/>
        </w:trPr>
        <w:tc>
          <w:tcPr>
            <w:tcW w:w="1940" w:type="dxa"/>
            <w:vAlign w:val="bottom"/>
          </w:tcPr>
          <w:p>
            <w:pPr>
              <w:spacing w:after="0"/>
              <w:rPr>
                <w:sz w:val="10"/>
                <w:szCs w:val="10"/>
                <w:color w:val="auto"/>
              </w:rPr>
            </w:pPr>
          </w:p>
        </w:tc>
        <w:tc>
          <w:tcPr>
            <w:tcW w:w="840" w:type="dxa"/>
            <w:vAlign w:val="bottom"/>
            <w:tcBorders>
              <w:top w:val="single" w:sz="8" w:color="auto"/>
            </w:tcBorders>
            <w:gridSpan w:val="2"/>
          </w:tcPr>
          <w:p>
            <w:pPr>
              <w:jc w:val="right"/>
              <w:ind w:right="34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240" w:type="dxa"/>
            <w:vAlign w:val="bottom"/>
          </w:tcPr>
          <w:p>
            <w:pPr>
              <w:spacing w:after="0"/>
              <w:rPr>
                <w:sz w:val="10"/>
                <w:szCs w:val="10"/>
                <w:color w:val="auto"/>
              </w:rPr>
            </w:pPr>
          </w:p>
        </w:tc>
        <w:tc>
          <w:tcPr>
            <w:tcW w:w="960" w:type="dxa"/>
            <w:vAlign w:val="bottom"/>
            <w:tcBorders>
              <w:top w:val="single" w:sz="8" w:color="auto"/>
            </w:tcBorders>
            <w:gridSpan w:val="2"/>
          </w:tcPr>
          <w:p>
            <w:pPr>
              <w:jc w:val="right"/>
              <w:ind w:right="46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460" w:type="dxa"/>
            <w:vAlign w:val="bottom"/>
            <w:tcBorders>
              <w:top w:val="single" w:sz="8" w:color="auto"/>
            </w:tcBorders>
            <w:gridSpan w:val="2"/>
          </w:tcPr>
          <w:p>
            <w:pPr>
              <w:jc w:val="right"/>
              <w:ind w:right="6"/>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240" w:type="dxa"/>
            <w:vAlign w:val="bottom"/>
          </w:tcPr>
          <w:p>
            <w:pPr>
              <w:spacing w:after="0"/>
              <w:rPr>
                <w:sz w:val="10"/>
                <w:szCs w:val="10"/>
                <w:color w:val="auto"/>
              </w:rPr>
            </w:pPr>
          </w:p>
        </w:tc>
        <w:tc>
          <w:tcPr>
            <w:tcW w:w="800" w:type="dxa"/>
            <w:vAlign w:val="bottom"/>
            <w:tcBorders>
              <w:top w:val="single" w:sz="8" w:color="auto"/>
            </w:tcBorders>
            <w:gridSpan w:val="2"/>
          </w:tcPr>
          <w:p>
            <w:pPr>
              <w:jc w:val="right"/>
              <w:ind w:right="32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320"/>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w w:val="93"/>
              </w:rPr>
              <w:t>(Deficit)</w:t>
            </w:r>
          </w:p>
        </w:tc>
        <w:tc>
          <w:tcPr>
            <w:tcW w:w="0" w:type="dxa"/>
            <w:vAlign w:val="bottom"/>
          </w:tcPr>
          <w:p>
            <w:pPr>
              <w:spacing w:after="0"/>
              <w:rPr>
                <w:sz w:val="1"/>
                <w:szCs w:val="1"/>
                <w:color w:val="auto"/>
              </w:rPr>
            </w:pPr>
          </w:p>
        </w:tc>
      </w:tr>
      <w:tr>
        <w:trPr>
          <w:trHeight w:val="101"/>
        </w:trPr>
        <w:tc>
          <w:tcPr>
            <w:tcW w:w="194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Balance as of December 31,</w:t>
            </w:r>
          </w:p>
        </w:tc>
        <w:tc>
          <w:tcPr>
            <w:tcW w:w="700" w:type="dxa"/>
            <w:vAlign w:val="bottom"/>
            <w:tcBorders>
              <w:top w:val="single" w:sz="8" w:color="auto"/>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00" w:type="dxa"/>
            <w:vAlign w:val="bottom"/>
            <w:tcBorders>
              <w:top w:val="single" w:sz="8" w:color="auto"/>
            </w:tcBorders>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32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8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7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2023</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2,286,873</w:t>
            </w:r>
          </w:p>
        </w:tc>
        <w:tc>
          <w:tcPr>
            <w:tcW w:w="14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47,458</w:t>
            </w: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312,094</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4,132</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2,625,896</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59,855</w:t>
            </w:r>
          </w:p>
        </w:tc>
        <w:tc>
          <w:tcPr>
            <w:tcW w:w="2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359,569</w:t>
            </w:r>
          </w:p>
        </w:tc>
        <w:tc>
          <w:tcPr>
            <w:tcW w:w="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4,159</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(187,081)</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(182,921)</w:t>
            </w:r>
          </w:p>
        </w:tc>
        <w:tc>
          <w:tcPr>
            <w:tcW w:w="0" w:type="dxa"/>
            <w:vAlign w:val="bottom"/>
          </w:tcPr>
          <w:p>
            <w:pPr>
              <w:spacing w:after="0"/>
              <w:rPr>
                <w:sz w:val="1"/>
                <w:szCs w:val="1"/>
                <w:color w:val="auto"/>
              </w:rPr>
            </w:pPr>
          </w:p>
        </w:tc>
      </w:tr>
      <w:tr>
        <w:trPr>
          <w:trHeight w:val="108"/>
        </w:trPr>
        <w:tc>
          <w:tcPr>
            <w:tcW w:w="194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Conversion of convertible</w:t>
            </w: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4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preferred stock to</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4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common stock in</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4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connection with the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Merger</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(2,286,873)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(47,458)</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(312,094)</w:t>
            </w:r>
          </w:p>
        </w:tc>
        <w:tc>
          <w:tcPr>
            <w:tcW w:w="14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w w:val="99"/>
              </w:rPr>
              <w:t>(4,132)</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(2,625,896)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(59,855)</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5,224,863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111,444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111,445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4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Issuance of common</w:t>
            </w:r>
          </w:p>
        </w:tc>
        <w:tc>
          <w:tcPr>
            <w:tcW w:w="7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40" w:type="dxa"/>
            <w:vAlign w:val="bottom"/>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rPr>
              <w:t>stock in the pre-</w:t>
            </w: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closing financing</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tcBorders>
              <w:right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1,682,045</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42,000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4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Issuance of common</w:t>
            </w: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4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stock for conversion</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of convertible notes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1,433,410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22,705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4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Issuance of common</w:t>
            </w:r>
          </w:p>
        </w:tc>
        <w:tc>
          <w:tcPr>
            <w:tcW w:w="7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40" w:type="dxa"/>
            <w:vAlign w:val="bottom"/>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rPr>
              <w:t>stock to Homology</w:t>
            </w: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40" w:type="dxa"/>
            <w:vAlign w:val="bottom"/>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rPr>
              <w:t>shareholders in</w:t>
            </w: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reverse recapitalization</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tcBorders>
              <w:right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3,229,633</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64,292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64,292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4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Issuance of common stock from</w:t>
            </w: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option exercises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255,486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4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Issuance of common stock from</w:t>
            </w:r>
          </w:p>
        </w:tc>
        <w:tc>
          <w:tcPr>
            <w:tcW w:w="7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RSU vesting</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tcBorders>
              <w:right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12,609</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94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Reverse recapitalization</w:t>
            </w: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transaction costs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(10,013)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(10,013)</w:t>
            </w:r>
          </w:p>
        </w:tc>
        <w:tc>
          <w:tcPr>
            <w:tcW w:w="0" w:type="dxa"/>
            <w:vAlign w:val="bottom"/>
          </w:tcPr>
          <w:p>
            <w:pPr>
              <w:spacing w:after="0"/>
              <w:rPr>
                <w:sz w:val="1"/>
                <w:szCs w:val="1"/>
                <w:color w:val="auto"/>
              </w:rPr>
            </w:pPr>
          </w:p>
        </w:tc>
      </w:tr>
      <w:tr>
        <w:trPr>
          <w:trHeight w:val="108"/>
        </w:trPr>
        <w:tc>
          <w:tcPr>
            <w:tcW w:w="194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Issuance of CVR at fair</w:t>
            </w:r>
          </w:p>
        </w:tc>
        <w:tc>
          <w:tcPr>
            <w:tcW w:w="7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value</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tcBorders>
              <w:right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(180)</w:t>
            </w:r>
          </w:p>
        </w:tc>
        <w:tc>
          <w:tcPr>
            <w:tcW w:w="0" w:type="dxa"/>
            <w:vAlign w:val="bottom"/>
          </w:tcPr>
          <w:p>
            <w:pPr>
              <w:spacing w:after="0"/>
              <w:rPr>
                <w:sz w:val="1"/>
                <w:szCs w:val="1"/>
                <w:color w:val="auto"/>
              </w:rPr>
            </w:pPr>
          </w:p>
        </w:tc>
      </w:tr>
      <w:tr>
        <w:trPr>
          <w:trHeight w:val="108"/>
        </w:trPr>
        <w:tc>
          <w:tcPr>
            <w:tcW w:w="194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Stock-based</w:t>
            </w: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compensation expense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4,386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4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Other comprehensive gain (loss)</w:t>
            </w:r>
          </w:p>
        </w:tc>
        <w:tc>
          <w:tcPr>
            <w:tcW w:w="84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56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80" w:type="dxa"/>
            <w:vAlign w:val="bottom"/>
            <w:tcBorders>
              <w:right w:val="single" w:sz="8" w:color="auto"/>
            </w:tcBorders>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94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84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6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right w:val="single" w:sz="8" w:color="auto"/>
            </w:tcBorders>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(47,733)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(47,733)</w:t>
            </w:r>
          </w:p>
        </w:tc>
        <w:tc>
          <w:tcPr>
            <w:tcW w:w="0" w:type="dxa"/>
            <w:vAlign w:val="bottom"/>
          </w:tcPr>
          <w:p>
            <w:pPr>
              <w:spacing w:after="0"/>
              <w:rPr>
                <w:sz w:val="1"/>
                <w:szCs w:val="1"/>
                <w:color w:val="auto"/>
              </w:rPr>
            </w:pPr>
          </w:p>
        </w:tc>
      </w:tr>
      <w:tr>
        <w:trPr>
          <w:trHeight w:val="101"/>
        </w:trPr>
        <w:tc>
          <w:tcPr>
            <w:tcW w:w="194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Balance as of December 31,</w:t>
            </w:r>
          </w:p>
        </w:tc>
        <w:tc>
          <w:tcPr>
            <w:tcW w:w="700" w:type="dxa"/>
            <w:vAlign w:val="bottom"/>
            <w:tcBorders>
              <w:top w:val="single" w:sz="8" w:color="auto"/>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00" w:type="dxa"/>
            <w:vAlign w:val="bottom"/>
            <w:tcBorders>
              <w:top w:val="single" w:sz="8" w:color="auto"/>
            </w:tcBorders>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32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8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7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2024</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right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12,197,615</w:t>
            </w:r>
          </w:p>
        </w:tc>
        <w:tc>
          <w:tcPr>
            <w:tcW w:w="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240,487</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(234,814)</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5,675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4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Issuance of common stock from</w:t>
            </w: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RSU vesting</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106,737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94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Issuance of common stock to Amgen</w:t>
            </w:r>
          </w:p>
        </w:tc>
        <w:tc>
          <w:tcPr>
            <w:tcW w:w="84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56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80" w:type="dxa"/>
            <w:vAlign w:val="bottom"/>
            <w:tcBorders>
              <w:right w:val="single" w:sz="8" w:color="auto"/>
            </w:tcBorders>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553,695</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1,263</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1,263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4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Stock-based</w:t>
            </w: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compensation expense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940" w:type="dxa"/>
            <w:vAlign w:val="bottom"/>
            <w:tcBorders>
              <w:bottom w:val="single" w:sz="8" w:color="CFF0FC"/>
            </w:tcBorders>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7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3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46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right w:val="single" w:sz="8" w:color="auto"/>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29,821</w:t>
            </w:r>
          </w:p>
        </w:tc>
        <w:tc>
          <w:tcPr>
            <w:tcW w:w="14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29,821</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940" w:type="dxa"/>
            <w:vAlign w:val="bottom"/>
          </w:tcPr>
          <w:p>
            <w:pPr>
              <w:spacing w:after="0" w:line="102" w:lineRule="exact"/>
              <w:rPr>
                <w:sz w:val="20"/>
                <w:szCs w:val="20"/>
                <w:color w:val="auto"/>
              </w:rPr>
            </w:pPr>
            <w:r>
              <w:rPr>
                <w:rFonts w:ascii="Times New Roman" w:cs="Times New Roman" w:eastAsia="Times New Roman" w:hAnsi="Times New Roman"/>
                <w:sz w:val="11"/>
                <w:szCs w:val="11"/>
                <w:color w:val="auto"/>
              </w:rPr>
              <w:t>Balance as of December 31,</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tcPr>
          <w:p>
            <w:pPr>
              <w:jc w:val="right"/>
              <w:ind w:right="66"/>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12,858,047</w:t>
            </w:r>
          </w:p>
        </w:tc>
        <w:tc>
          <w:tcPr>
            <w:tcW w:w="4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247,005</w:t>
            </w:r>
          </w:p>
        </w:tc>
        <w:tc>
          <w:tcPr>
            <w:tcW w:w="120" w:type="dxa"/>
            <w:vAlign w:val="bottom"/>
          </w:tcPr>
          <w:p>
            <w:pPr>
              <w:spacing w:after="0"/>
              <w:rPr>
                <w:sz w:val="8"/>
                <w:szCs w:val="8"/>
                <w:color w:val="auto"/>
              </w:rPr>
            </w:pP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(204,993 )</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42,014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940" w:type="dxa"/>
            <w:vAlign w:val="bottom"/>
          </w:tcPr>
          <w:p>
            <w:pPr>
              <w:ind w:left="80"/>
              <w:spacing w:after="0" w:line="89" w:lineRule="exact"/>
              <w:rPr>
                <w:sz w:val="20"/>
                <w:szCs w:val="20"/>
                <w:color w:val="auto"/>
              </w:rPr>
            </w:pPr>
            <w:r>
              <w:rPr>
                <w:rFonts w:ascii="Times New Roman" w:cs="Times New Roman" w:eastAsia="Times New Roman" w:hAnsi="Times New Roman"/>
                <w:sz w:val="10"/>
                <w:szCs w:val="10"/>
                <w:color w:val="auto"/>
              </w:rPr>
              <w:t>2025</w:t>
            </w:r>
          </w:p>
        </w:tc>
        <w:tc>
          <w:tcPr>
            <w:tcW w:w="840" w:type="dxa"/>
            <w:vAlign w:val="bottom"/>
            <w:gridSpan w:val="2"/>
            <w:vMerge w:val="continue"/>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680" w:type="dxa"/>
            <w:vAlign w:val="bottom"/>
            <w:tcBorders>
              <w:right w:val="single" w:sz="8" w:color="auto"/>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-162560</wp:posOffset>
            </wp:positionV>
            <wp:extent cx="768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-162560</wp:posOffset>
            </wp:positionV>
            <wp:extent cx="768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-162560</wp:posOffset>
            </wp:positionV>
            <wp:extent cx="77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-162560</wp:posOffset>
            </wp:positionV>
            <wp:extent cx="774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-162560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-162560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-162560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-162560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-162560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10" w:name="page111"/>
    <w:bookmarkEnd w:id="1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Q32 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276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29,821</w:t>
            </w:r>
          </w:p>
        </w:tc>
        <w:tc>
          <w:tcPr>
            <w:tcW w:w="160" w:type="dxa"/>
            <w:vAlign w:val="bottom"/>
          </w:tcPr>
          <w:p>
            <w:pPr>
              <w:spacing w:after="0"/>
              <w:rPr>
                <w:sz w:val="18"/>
                <w:szCs w:val="18"/>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(47,733)</w:t>
            </w: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revenue from settlement of customer refund liability</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(53,737)</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premium on short-term investments</w:t>
            </w:r>
          </w:p>
        </w:tc>
        <w:tc>
          <w:tcPr>
            <w:tcW w:w="9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9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impairment of equity investment</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CVR liability</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(15,890)</w:t>
            </w:r>
          </w:p>
        </w:tc>
        <w:tc>
          <w:tcPr>
            <w:tcW w:w="0" w:type="dxa"/>
            <w:vAlign w:val="bottom"/>
          </w:tcPr>
          <w:p>
            <w:pPr>
              <w:spacing w:after="0"/>
              <w:rPr>
                <w:sz w:val="1"/>
                <w:szCs w:val="1"/>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asset</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(11,737)</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noncurrent assets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(3,328)</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(7,714)</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(33,543)</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(67,715)</w:t>
            </w:r>
          </w:p>
        </w:tc>
        <w:tc>
          <w:tcPr>
            <w:tcW w:w="0" w:type="dxa"/>
            <w:vAlign w:val="bottom"/>
          </w:tcPr>
          <w:p>
            <w:pPr>
              <w:spacing w:after="0"/>
              <w:rPr>
                <w:sz w:val="1"/>
                <w:szCs w:val="1"/>
                <w:color w:val="auto"/>
              </w:rPr>
            </w:pPr>
          </w:p>
        </w:tc>
      </w:tr>
      <w:tr>
        <w:trPr>
          <w:trHeight w:val="210"/>
        </w:trPr>
        <w:tc>
          <w:tcPr>
            <w:tcW w:w="7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asset</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borrowings under loan and security agreement</w:t>
            </w:r>
          </w:p>
        </w:tc>
        <w:tc>
          <w:tcPr>
            <w:tcW w:w="9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common stock in pre-closing financing</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acquired in connection with reverse recapitalization</w:t>
            </w:r>
          </w:p>
        </w:tc>
        <w:tc>
          <w:tcPr>
            <w:tcW w:w="9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reverse recapitalization transaction costs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(8,714)</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venture debt</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760" w:type="dxa"/>
            <w:vAlign w:val="bottom"/>
            <w:tcBorders>
              <w:right w:val="single" w:sz="8" w:color="CFF0FC"/>
            </w:tcBorders>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increase (decrease) in cash, cash equivalents, restricted cash and</w:t>
            </w:r>
          </w:p>
        </w:tc>
        <w:tc>
          <w:tcPr>
            <w:tcW w:w="94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restricted cash equivalents</w:t>
            </w:r>
          </w:p>
        </w:tc>
        <w:tc>
          <w:tcPr>
            <w:tcW w:w="9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(29,668)</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restricted cash and restricted cash equivalents</w:t>
            </w:r>
          </w:p>
        </w:tc>
        <w:tc>
          <w:tcPr>
            <w:tcW w:w="9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78,612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31,264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 beginning of period</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760" w:type="dxa"/>
            <w:vAlign w:val="bottom"/>
            <w:tcBorders>
              <w:right w:val="single" w:sz="8" w:color="CFF0FC"/>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Cash, cash equivalents, restricted cash and restricted cash equivalents</w:t>
            </w:r>
          </w:p>
        </w:tc>
        <w:tc>
          <w:tcPr>
            <w:tcW w:w="940" w:type="dxa"/>
            <w:vAlign w:val="bottom"/>
            <w:vMerge w:val="restart"/>
            <w:shd w:val="clear" w:color="auto" w:fill="CFF0FC"/>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48,944</w:t>
            </w:r>
          </w:p>
        </w:tc>
        <w:tc>
          <w:tcPr>
            <w:tcW w:w="160" w:type="dxa"/>
            <w:vAlign w:val="bottom"/>
            <w:shd w:val="clear" w:color="auto" w:fill="CFF0FC"/>
          </w:tcPr>
          <w:p>
            <w:pPr>
              <w:spacing w:after="0"/>
              <w:rPr>
                <w:sz w:val="16"/>
                <w:szCs w:val="16"/>
                <w:color w:val="auto"/>
              </w:rPr>
            </w:pPr>
          </w:p>
        </w:tc>
        <w:tc>
          <w:tcPr>
            <w:tcW w:w="1060" w:type="dxa"/>
            <w:vAlign w:val="bottom"/>
            <w:gridSpan w:val="2"/>
            <w:vMerge w:val="restart"/>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78,612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60" w:type="dxa"/>
            <w:vAlign w:val="bottom"/>
            <w:tcBorders>
              <w:right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at end of period</w:t>
            </w:r>
          </w:p>
        </w:tc>
        <w:tc>
          <w:tcPr>
            <w:tcW w:w="94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vMerge w:val="continue"/>
            <w:shd w:val="clear" w:color="auto" w:fill="CFF0FC"/>
          </w:tcPr>
          <w:p>
            <w:pPr>
              <w:spacing w:after="0"/>
              <w:rPr>
                <w:sz w:val="20"/>
                <w:szCs w:val="20"/>
                <w:color w:val="auto"/>
              </w:rPr>
            </w:pPr>
          </w:p>
        </w:tc>
        <w:tc>
          <w:tcPr>
            <w:tcW w:w="6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7760" w:type="dxa"/>
            <w:vAlign w:val="bottom"/>
            <w:tcBorders>
              <w:top w:val="single" w:sz="8" w:color="CFF0FC"/>
            </w:tcBorders>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Supplemental disclosure of non-cash operating, investing and</w:t>
            </w:r>
          </w:p>
        </w:tc>
        <w:tc>
          <w:tcPr>
            <w:tcW w:w="9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payments on venture debt</w:t>
            </w:r>
          </w:p>
        </w:tc>
        <w:tc>
          <w:tcPr>
            <w:tcW w:w="94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Issuance of common stock to Amgen at fair value</w:t>
            </w: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1,263</w:t>
            </w:r>
          </w:p>
        </w:tc>
        <w:tc>
          <w:tcPr>
            <w:tcW w:w="160" w:type="dxa"/>
            <w:vAlign w:val="bottom"/>
          </w:tcPr>
          <w:p>
            <w:pPr>
              <w:spacing w:after="0"/>
              <w:rPr>
                <w:sz w:val="17"/>
                <w:szCs w:val="17"/>
                <w:color w:val="auto"/>
              </w:rPr>
            </w:pPr>
          </w:p>
        </w:tc>
        <w:tc>
          <w:tcPr>
            <w:tcW w:w="1060" w:type="dxa"/>
            <w:vAlign w:val="bottom"/>
            <w:gridSpan w:val="2"/>
          </w:tcPr>
          <w:p>
            <w:pPr>
              <w:jc w:val="right"/>
              <w:ind w:right="8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760" w:type="dxa"/>
            <w:vAlign w:val="bottom"/>
            <w:tcBorders>
              <w:right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Short-term investments acquired in connection with reverse recapitalization</w:t>
            </w:r>
          </w:p>
        </w:tc>
        <w:tc>
          <w:tcPr>
            <w:tcW w:w="94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19,905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Issuance of CVR at fair value</w:t>
            </w: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-3573780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-3016885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-3016885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-1902460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-950595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-513715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-496570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1" w:name="page112"/>
    <w:bookmarkEnd w:id="1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Q32 BIO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Q32 Bio Inc. (“Q32” or the “Company”) is a clinical stage biotechnology company focused on developing novel biologics to effectively and safely restore healthy immune balance in patients with autoimmune and inflammatory diseases driven by pathological immune dysfunction. Q32 has multiple product candidates across a variety of autoimmune and inflammatory diseases. The Company was formed in 2017 as Admirx, Inc. under the laws of the state of Delaware and is headquartered in Waltham, Massachusetts. On March 20, 2020, the Company changed its name to Q32 Bio Inc.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ADX-097</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November 28, 2025, the Company entered into an Asset Purchase Agreement (the “Asset Purchase Agreement”) with Q32 Bio Operations Inc., a wholly-owned subsidiary of the Company (“Q32 Bio Operations” and, together with the Company, the “Seller”), and Akebia Therapeutics, Inc. (“Akebia”) pursuant to which the Seller sold to Akebia substantially all of the Seller’s assets related to the research, development, manufacture and commercialization of ADX-097 (the “ADX-097 Asset Sale”). Following the ADX-097 Asset Sale, Akebia will be responsible for any future development and commercialization of ADX-097 (see Note 4 for more details surrounding the accounting for the ADX-097 Asset Sale).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with Homology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March 25, 2024, Kenobi Merger Sub, Inc. (“Merger Sub”), a wholly-owned subsidiary of Homology Medicines, Inc. (“Homology”), completed its merger with and into Q32 Bio Operations Inc. (previously named Q32 Bio Inc. and also referred to herein as “Legacy Q32”), with Legacy Q32 continuing as the surviving entity as a wholly-owned subsidiary of Homology. This transaction is referred to as the “Merger.” Homology changed its name to Q32 Bio Inc., and Legacy Q32, which remains as a wholly-owned subsidiary of the Company, changed its name to Q32 Bio Operations, Inc. The Merger was effected pursuant to an Agreement and Plan of Merger (the “Merger Agreement”), dated as of November 16, 2023, by and among Homology, Legacy Q32, and Merger Sub. In connection with the Merger Agreement, certain parties entered into a subscription agreement with the Company to purchase shares of Legacy Q32’s common stock for an aggregate purchase price of $42.0 million (the “Pre-Closing Financing”).</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March 25, 2024 (the “Closing Date”), the Pre-Closing Financing closed immediately prior to the consummation of the Merger. Shares of Legacy Q32’s common stock issued pursuant to the Pre-Closing Financing were converted into the right to receive 1,682,045 shares of Homology common stock after taking into account the Reverse Stock Split. On March 25, 2024, Homology effected a one-for-eighteen reverse stock split of its then outstanding common stock (the “Reverse Stock Split”) where all issued and outstanding shares of Legacy Q32’s common stock (including common stock issued upon the conversion of all Legacy Q32’s Series A, Series A-1 and Series B preferred stock, conversion of Legacy Q32 convertible notes, but excluding the common stock issued in Pre-Closing Financing) converted into the right to receive an aggregate of 7,017,842 shares of Homology’s common stock based on the final exchange ratio of 0.0480 (the “Exchange Ratio”). Lastly, each option to purchase the Legacy Q32’s shares that was outstanding and unexercised immediately prior to the Merger was converted into an option to purchase shares of Homology based on the Exchange Ratio. Immediately following the Merger, Legacy Q32 stockholders owned approximately 74.4% of the outstanding common stock of the combined company.</w:t>
      </w:r>
    </w:p>
    <w:p>
      <w:pPr>
        <w:spacing w:after="0" w:line="18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in accordance with accounting principles generally accepted in the United States of America (“GAAP”). For accounting purposes, Legacy Q32 is considered the accounting acquirer and Homology is the acquired company based on the terms of the Merger Agreement and other factors, such as relative voting rights and the composition of the combined company’s board of directors and senior management. Accordingly, the Merger was treated as the equivalent of Legacy Q32’s issuing stock to acquire the net assets of Homology. As a result of the Merger, the net assets of Homology were recorded at their acquisition-date fair value in the financial statements of the combined company and the reported operating results prior to the Merger are those of Legacy Q32. Legacy Q32’s historical financial statements became the historical consolidated financial statements of the combined company. All issued and outstanding Legacy Q32 common stock, convertible preferred stock and options prior to the effective date of the Merger have been retroactively adjusted to reflect the Exchange Ratio, which reflects the impact of the reverse stock split, for all periods presented.</w:t>
      </w:r>
    </w:p>
    <w:p>
      <w:pPr>
        <w:spacing w:after="0" w:line="18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At the effective time of the Merger, each person who as of immediately prior to the effective time of the Merger was a stockholder of record of Homology or had the right to receive Homology’s common stock received a contractual contingent value right (“CVR”) issued by Homology representing the contractual right to receive cash payments from the combined company upon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2" w:name="page113"/>
    <w:bookmarkEnd w:id="112"/>
    <w:p>
      <w:pPr>
        <w:ind w:right="80"/>
        <w:spacing w:after="0" w:line="282" w:lineRule="auto"/>
        <w:rPr>
          <w:sz w:val="20"/>
          <w:szCs w:val="20"/>
          <w:color w:val="auto"/>
        </w:rPr>
      </w:pPr>
      <w:r>
        <w:rPr>
          <w:rFonts w:ascii="Times New Roman" w:cs="Times New Roman" w:eastAsia="Times New Roman" w:hAnsi="Times New Roman"/>
          <w:sz w:val="18"/>
          <w:szCs w:val="18"/>
          <w:color w:val="auto"/>
        </w:rPr>
        <w:t>the receipt of certain proceeds from a disposition of Homology’s pre-merger assets (see Note 3 for more details surrounding the accounting for the Merger and the CVRs).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risks associated with completing preclinical studies and clinical trials, obtaining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will require significant additional research and development efforts, including preclinical and clinical testing, and will need to obtain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 Since its inception, the Company’s operations have been focused on organizing and staffing, business planning, raising capital, establishing the Company’s intellectual property portfolio and performing research and development of its product candidates, programs and platform. The Company has primarily funded its operations with proceeds from the sale of convertible preferred stock, convertible notes, venture debt, the Merger with Homology and accompanying Pre-Closing Financing and its collaboration arrangement with Horizon.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Financial Accounting Standards Board (“FASB”) Accounting Standards Update (“ASU”) 2014-15, </w:t>
      </w:r>
      <w:r>
        <w:rPr>
          <w:rFonts w:ascii="Times New Roman" w:cs="Times New Roman" w:eastAsia="Times New Roman" w:hAnsi="Times New Roman"/>
          <w:sz w:val="18"/>
          <w:szCs w:val="18"/>
          <w:i w:val="1"/>
          <w:iCs w:val="1"/>
          <w:color w:val="auto"/>
        </w:rPr>
        <w:t>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Uncertainties about an Entity’s ability to Continue as a Going Concern (Subtopic 205-40)</w:t>
      </w:r>
      <w:r>
        <w:rPr>
          <w:rFonts w:ascii="Times New Roman" w:cs="Times New Roman" w:eastAsia="Times New Roman" w:hAnsi="Times New Roman"/>
          <w:sz w:val="18"/>
          <w:szCs w:val="18"/>
          <w:color w:val="auto"/>
        </w:rPr>
        <w:t>, the Company has evaluated whether there are conditions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events, considered in the aggregate, that raise substantial doubt about the Company’s ability to continue as a going concern within one year after the date that the consolidated financial statements are issued.</w:t>
      </w:r>
    </w:p>
    <w:p>
      <w:pPr>
        <w:spacing w:after="0" w:line="1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an accumulated deficit of $205.0 million and cash and cash equivalents of $48.3 million. The Company expects that its cash and cash equivalents, combined with gross proceeds from our registered direct offering completed in February 2026 (see Note 21) and guaranteed near-term milestone payments from the ADX-097 Asset Sale, will be sufficient to fund its operating expenditures and capital expenditure requirements necessary to advance its research efforts and clinical trials for at least one year from the date of issuance of these consolidated financial statements.</w:t>
      </w:r>
    </w:p>
    <w:p>
      <w:pPr>
        <w:spacing w:after="0" w:line="1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Company has incurred recurring operating losses since its inception. During the year ended December 31, 2025, the Company had net income of $29.8 million, primarily due to the collaboration revenue recognized upon the execution of the Amgen Amendment (as defined in Note 15 below). The Company expects its operating losses and negative operating cash flows to continue into the foreseeable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GAAP and have been prepared on a going concern basis, which contemplates the realization of assets and the satisfaction of liabilities in the normal course of business.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those of the Company and its wholly-owned subsidiaries. All intercompany balances and transactions have been eliminated in the consolidated financial statements.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in the financial statements and accompanying notes. Actual results could materially differ from those estimates. Management considers many factors in selecting appropriate financial accounting policies and controls, and in developing the estimates and assumptions that are used in the preparation of these consolidated financial statements. Management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3" w:name="page114"/>
    <w:bookmarkEnd w:id="113"/>
    <w:p>
      <w:pPr>
        <w:ind w:right="160"/>
        <w:spacing w:after="0" w:line="253" w:lineRule="auto"/>
        <w:rPr>
          <w:sz w:val="20"/>
          <w:szCs w:val="20"/>
          <w:color w:val="auto"/>
        </w:rPr>
      </w:pPr>
      <w:r>
        <w:rPr>
          <w:rFonts w:ascii="Times New Roman" w:cs="Times New Roman" w:eastAsia="Times New Roman" w:hAnsi="Times New Roman"/>
          <w:sz w:val="18"/>
          <w:szCs w:val="18"/>
          <w:color w:val="auto"/>
        </w:rPr>
        <w:t>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Significant estimates and assumptions reflected in these consolidated financial statements include, but are not limited to, the fair value of the common stock and convertible notes prior to the effective date of the Merger, the fair value of CVR liability, and the prepaid and accrued research and development expenses. The Company utilizes certain estimates to record expenses relating to research and development contracts. These contract estimates, which are primarily related to the length of service of each contract and the amount of service provided as of each measurement date, are determined by the Company based on input from internal project management, as well as from service providers. Estimates are periodically reviewed considering changes in circumstances, facts and historical experience. Actual results may differ from the Company’s estimates.</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(“CODM”), or decision-making group, in determining how to allocate resources and in assessing performance. The Company has one reporting segment (see Note 20). The segment consists of the development of clinical and preclinical product candidates for the development of the Company’s novel biologics. The Company’s chief operating decision maker is the chief executive officer (“CEO”).</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the summary of significant accounting policies. The CODM assesses performance for the segment based on net loss, which is reported on the income statement. The measure of segment assets is reported on the balance sheet as total consolidated assets.</w:t>
      </w:r>
    </w:p>
    <w:p>
      <w:pPr>
        <w:spacing w:after="0" w:line="68"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CODM uses cash forecast models in deciding how to invest into the segment. Such cash forecast models are reviewed to assess the entity-wide operating results and performance. Net loss is used to monitor budget versus actual results. Monitoring budget versus actual results is used in assessing the performance of the segment and in establishing management’s compensation, along with cash forecast model.</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Company’s functional currency is the United States dollar. Foreign currency transaction gains and losses are recorded in the consolidated statement of operations.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Suppliers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credit risk primarily consist of cash, cash equivalents, restricted cash and restricted cash equivalents. The Company maintains its cash, cash equivalents, restricted cash and restricted cash equivalents balances with accredited financial institutions and, consequently, the Company does not believe it is subject to unusual credit risk beyond the normal credit risk associated with commercial banking relationships.</w:t>
      </w:r>
    </w:p>
    <w:p>
      <w:pPr>
        <w:spacing w:after="0" w:line="18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Company’s cash management limits investment to investment-grade securities with the objective to preserve capital and to maintain liquidity until the funds can be used in business operations. The Company maintains its cash in bank deposit accounts that are Federal Deposit Insurance Corporation (“FDIC”) insured up to $250,000. At times, the Company’s bank accounts may exceed the federal insurance limit.</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dependent on contract development and manufacturing organizations (“CDMOs”) to supply products for research and development activities in its programs. In particular, the Company relies and expects to continue to rely on a small number of manufacturers to supply it with its requirements for the active pharmaceutical ingredients, other raw materials and formulated drugs related to these programs. These programs could be adversely affected by a significant interruption in the supply of active pharmaceutical ingredients, other raw materials and formulated drugs. The Company is also dependent on contract research organizations (“CROs”) which provide services related to the research and development activities in its programs.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Off Balance Sheet Risk</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had no off balance sheet risk such as foreign exchange contracts, option contracts or other foreign hedging arrangements.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4" w:name="page115"/>
    <w:bookmarkEnd w:id="11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Comprehensive income (loss) includes net loss as well as other changes in stockholders’ equity (deficit) that result from transactions and economic events other than those with stockholders.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Restricted Cash and Restricted Cash Equivalents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that are readily convertible into cash with maturities of three months or less at the date of purchase to be cash equivalents. Cash equivalents are comprised of money market accounts invested in U.S. Treasury securities.</w:t>
      </w:r>
    </w:p>
    <w:p>
      <w:pPr>
        <w:spacing w:after="0" w:line="16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Restricted cash and restricted cash equivalents are comprised of deposits held by financial institutions as collateral for the company’s venture debt and used to collateralize letters of credit related to the Company’s lease arrangements.</w:t>
      </w:r>
    </w:p>
    <w:p>
      <w:pPr>
        <w:spacing w:after="0" w:line="16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 includes the restricted cash and restricted cash equivalents balance together with its cash and cash equivalents when reconciling beginning-of-period and end-of-period total amounts shown on the consolidated statements of cash flows.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consisted of the following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48,297</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77,965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3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cash, cash equivalents, restricted cash and restricted</w:t>
            </w: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48,944</w:t>
            </w:r>
          </w:p>
        </w:tc>
        <w:tc>
          <w:tcPr>
            <w:tcW w:w="56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78,612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vMerge w:val="continue"/>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560" w:type="dxa"/>
            <w:vAlign w:val="bottom"/>
            <w:gridSpan w:val="2"/>
            <w:vMerge w:val="continue"/>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431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431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Transaction Costs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transaction costs until such financings are consummated. After consummation of an equity financing, these costs are recorded as a reduction of the proceeds from the transaction, either as a reduction of the carrying value of the preferred stock or in stockholders’ deficit as a reduction of additional paid-in capital generated as a result of the transaction. Should the in-process equity financing be abandoned, the deferred transaction costs would be expensed immediately as a charge to operating expenses in the consolidated statements of operations.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Quoted prices in active markets for identical assets or liabilities.</w:t>
      </w:r>
    </w:p>
    <w:p>
      <w:pPr>
        <w:spacing w:after="0" w:line="117" w:lineRule="exact"/>
        <w:rPr>
          <w:sz w:val="20"/>
          <w:szCs w:val="20"/>
          <w:color w:val="auto"/>
        </w:rPr>
      </w:pPr>
    </w:p>
    <w:p>
      <w:pPr>
        <w:ind w:left="520"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Observable inputs (other than Level 1 quoted prices), such as quoted prices in active markets for similar assets or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for identical or similar assets or liabilities, or other inputs that are observable or can be corroborated by observable market data.</w:t>
      </w:r>
    </w:p>
    <w:p>
      <w:pPr>
        <w:spacing w:after="0" w:line="65" w:lineRule="exact"/>
        <w:rPr>
          <w:sz w:val="20"/>
          <w:szCs w:val="20"/>
          <w:color w:val="auto"/>
        </w:rPr>
      </w:pPr>
    </w:p>
    <w:p>
      <w:pPr>
        <w:ind w:left="520"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Unobservable inputs that are supported by little or no market activity and that are significant to determining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including pricing models, discounted cash flow methodologies and similar techniques.</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uses the equity method of accounting to account for an investment in an entity that it does not control, but in which it has the ability to exercise significant influence over operating and financial policies. The Company's proportionate share of the net income or loss of the entity is included in consolidated net income (loss). Judgments regarding the level of influence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15" w:name="page116"/>
    <w:bookmarkEnd w:id="115"/>
    <w:p>
      <w:pPr>
        <w:ind w:right="120"/>
        <w:spacing w:after="0" w:line="282" w:lineRule="auto"/>
        <w:rPr>
          <w:sz w:val="20"/>
          <w:szCs w:val="20"/>
          <w:color w:val="auto"/>
        </w:rPr>
      </w:pPr>
      <w:r>
        <w:rPr>
          <w:rFonts w:ascii="Times New Roman" w:cs="Times New Roman" w:eastAsia="Times New Roman" w:hAnsi="Times New Roman"/>
          <w:sz w:val="18"/>
          <w:szCs w:val="18"/>
          <w:color w:val="auto"/>
        </w:rPr>
        <w:t>over the equity method investment include consideration of key factors such as the Company's ownership interest, representation on the board of directors or other management body and participation in policy-making decisions.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equity method of accounting, the Company’s investment is initially recorded at fair value on the consolidated balance sheets. Upon initial investment, the Company evaluates whether there are basis differences between the carrying value and fair value of the Company’s proportionate share of the investee’s underlying net assets. Typically, the Company amortizes basis differences identified on a straight-line basis over the underlying assets’ estimated useful lives when calculating the attributable earnings or losses, excluding the basis differences attributable to in-process research and development that has no alternative future use. If the Company is unable to attribute all of the basis differences to specific assets or liabilities of the investee, the residual excess of the cost of the investment over the proportional fair value of the investee’s assets and liabilities is considered to be equity method goodwill and is recognized within the equity investment balance, which is tracked separately within the Company’s memo accounts. The Company subsequently records in the statements of operations its share of income or loss of the other entity within other income/expense, which results in an increase or decrease to the carrying value of the investment. If the share of losses exceeds the carrying value of the Company’s investment, the Company will suspend recognizing additional losses and will continue to do so unless it commits to providing additional funding; however, if there are intra-entity profits this can cause the investment balance to go negative.</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w:t>
      </w:r>
    </w:p>
    <w:p>
      <w:pPr>
        <w:spacing w:after="0" w:line="18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uses the cost method to account for an investment in an entity in which it does not have the ability to exercise significant influence over operating and financial policies. Investments recorded using the cost method will be assessed for any decrease in value that has occurred that is other than temporary and the other than temporary decrease in value shall be recognized.</w:t>
      </w:r>
    </w:p>
    <w:p>
      <w:pPr>
        <w:spacing w:after="0" w:line="17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and when circumstances and facts change, the Company will evaluate the Company’s ability to significantly influence operational and financial policy to establish a basis for converting the investment accounted for using the cost method to the equity method of accounting and vice versa.</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Depreciation is calculated using the straight-line method over the estimated useful lives of the respective assets. Major additions and betterments are capitalized; maintenance and repairs, which do not improve or extend the life of the respective assets, are charged to operations as incurred. Upon retirement or sale, the cost and related accumulated depreciation of assets disposed of are removed from the accounts and any resulting gain or loss is included in loss from operations.</w:t>
      </w:r>
    </w:p>
    <w:p>
      <w:pPr>
        <w:spacing w:after="0" w:line="281"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 (Years)</w:t>
            </w: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198"/>
        </w:trPr>
        <w:tc>
          <w:tcPr>
            <w:tcW w:w="5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22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Shorter of useful life or</w:t>
            </w:r>
          </w:p>
        </w:tc>
      </w:tr>
      <w:tr>
        <w:trPr>
          <w:trHeight w:val="216"/>
        </w:trPr>
        <w:tc>
          <w:tcPr>
            <w:tcW w:w="56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term of</w:t>
            </w:r>
          </w:p>
        </w:tc>
      </w:tr>
      <w:tr>
        <w:trPr>
          <w:trHeight w:val="234"/>
        </w:trPr>
        <w:tc>
          <w:tcPr>
            <w:tcW w:w="566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associated lease</w:t>
            </w:r>
          </w:p>
        </w:tc>
      </w:tr>
    </w:tbl>
    <w:p>
      <w:pPr>
        <w:spacing w:after="0" w:line="3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evaluates whether an arrangement is or contains a lease at contract inception. If a contract is or contains a lease, lease classification is determined at lease commencement, which represents the date at which the underlying asset is made available for use by the Company. The Company’s lease terms are generally measured at the respective lease’s noncancelable term and exclude any optional extension terms as the Company is not reasonably certain to exercise such options. The Company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6" w:name="page117"/>
    <w:bookmarkEnd w:id="116"/>
    <w:p>
      <w:pPr>
        <w:ind w:right="260"/>
        <w:spacing w:after="0" w:line="282" w:lineRule="auto"/>
        <w:rPr>
          <w:sz w:val="20"/>
          <w:szCs w:val="20"/>
          <w:color w:val="auto"/>
        </w:rPr>
      </w:pPr>
      <w:r>
        <w:rPr>
          <w:rFonts w:ascii="Times New Roman" w:cs="Times New Roman" w:eastAsia="Times New Roman" w:hAnsi="Times New Roman"/>
          <w:sz w:val="18"/>
          <w:szCs w:val="18"/>
          <w:color w:val="auto"/>
        </w:rPr>
        <w:t>elected the short-term lease exemption and therefore does not recognize lease liabilities and right of use assets for lease arrangements with original lease terms of twelve months or less.</w:t>
      </w:r>
    </w:p>
    <w:p>
      <w:pPr>
        <w:spacing w:after="0" w:line="16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Lease liabilities represent the Company’s obligation to make lease payments under a lease arrangement. Lease liabilities are measured as the present value of fixed lease payments, discounted using an incremental borrowing rate, as interest rates implicit in the Company’s lease arrangements are generally not readily determinable. The Company elected the practical expedient to not separate lease and non-lease components for its real estate leases and therefore both are considered when determining the lease payments in a lease arrangement. Variable lease costs are expensed as incurred.</w:t>
      </w:r>
    </w:p>
    <w:p>
      <w:pPr>
        <w:spacing w:after="0" w:line="180"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incremental borrowing rate represents the interest rate at which the Company could borrow a fully collateralized amount equal to the lease payments, over a similar term, in a similar economic environment. The Company determines the incremental borrowing rate at lease commencement, generally using a synthetic credit rating based on the Company’s financial position and negative cash flows, factoring in adjustments for additional risks based on the Company’s economic condition, a survey of comparable companies with similar credit and financial profiles, as well as additional market risks, as may be applicable.</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over its lease term. Right-of-use assets are initially measured as the associated lease liability, adjusted for prepaid rent and tenant incentives. The Company remeasures right-of-use assets and lease liabilities when a lease is modified, and the modification is not accounted for as a separate contract. A modification is accounted for as a separate contract if the modification grants the Company an additional right of use not included in the original lease agreement and the increase in lease payments is commensurate with the additional right of use. The Company assesses its right-of-use assets for impairment consistent with its policy for impairment of long-lived assets held and used in operations.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continually monitors events and changes in circumstances that could indicate carrying amounts of long-lived assets may be impaired, and assesses their recoverability based upon estimated future undiscounted future cash flows expected to be generated by the long-lived assets. If the estimated aggregate undiscounted cash flows are less than the carrying amount of the long-lived assets, an impairment charge, calculated as the amount by which the carrying amount of the assets exceeds the estimated fair value of the assets, is recorded. The estimated fair value of the long-lived assets is determined based on the estimated discounted cash flows expected to be generated from the long-lived assets.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Debt and Warrant Issuance Costs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venture debt was recorded net of issuance costs and discount relating to the issuance of warrants. The amounts are amortized over the term of the debt using the effective interest method and recognized as interest expense.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are comprised of costs incurred in performing research and development activities, including salaries, stock-based compensation and benefits, costs for clinical research organizations and other outsourced activities; laboratory supplies; technology licenses, software and other information technology support; facilities and depreciation. Upfront payments and milestone payments made for the licensing of technology are expensed as research and development expenses in the period in which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related contracts with external parties. The payments under these agreements are recorded as research and development expenses as the underlying services are performed or the goods are received. The Company records accrued liabilities for estimated ongoing research costs. When evaluating the adequacy of the accrued liabilities, the Company analyzes progress of the research activities, including the phase or completion of events, invoices received and contracted costs. Significant judgments and estimates are made in determining the accrued and prepaid balances at the end of any reporting period. Actual results could differ from the Company’s estimates. The Company’s historical accrual estimates have not been materially different from the actual costs.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7" w:name="page118"/>
    <w:bookmarkEnd w:id="11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 expenses all costs as incurred in connection with patent applications, including direct application fees, and the legal and consulting expenses related to making such applications, and such costs are included in general and administrative expenses within the Company’s statement of operations.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Under FASB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to which it is entitled in exchange for the goods or services it transfers to the customer.</w:t>
      </w:r>
    </w:p>
    <w:p>
      <w:pPr>
        <w:spacing w:after="0" w:line="7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Once a contract is determined to be within the scope of ASC 606, the Company assesses the goods or services promised within each contract and determines those that are performance obligations.</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Arrangements that include rights to additional goods or services that are exercisable at a customer’s discretion are generally considered options. The Company assesses if these options provide a material right to the customer and if so, they are considered performance obligations. The identification of material rights requires judgments related to the determination of the value of the underlying good or service relative to the option exercise price. The exercise of a material right is accounted for as a contract modification for accounting purposes.</w:t>
      </w:r>
    </w:p>
    <w:p>
      <w:pPr>
        <w:spacing w:after="0" w:line="72"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Company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the entity’s promise to transfer the good or service to the customer is separately identifiable from other promises in the contract (that is, the promise to transfer the good or service is distinct within the context of the contract). In assessing whether a promised good or service is distinct, the Company considers factors such as the license terms, the research, manufacturing and commercialization capabilities of the collaboration partner and the availability of the associated expertise in the general marketplace. The Company also considers the intended benefit of the contract in assessing whether a promised good or service is separately identifiable from other promises in the contract. If a promised good or service is not distinct, an entity is required to combine that good or service with other promised goods or services until it identifies a bundle of goods or services that is distinct.</w:t>
      </w:r>
    </w:p>
    <w:p>
      <w:pPr>
        <w:spacing w:after="0" w:line="84"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transaction price is determined and allocated to the identified performance obligations in proportion to their stand-alone selling prices (SSP) on a relative SSP basis. SSP is determined at contract inception and is not updated to reflect changes between contract inception and when the performance obligations are satisfied. Determining the SSP for performance obligations requires significant judgment. In developing the SSP for a performance obligation, the Company considers applicable market conditions and relevant entity-specific factors, including factors that were contemplated in negotiating the agreement with the customer and estimated costs. The Company validates the SSP for performance obligations by evaluating whether changes in the key assumptions used to determine the SSP will have a significant effect on the allocation of arrangement consideration between multiple performance obligations.</w:t>
      </w:r>
    </w:p>
    <w:p>
      <w:pPr>
        <w:spacing w:after="0" w:line="8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amount of variable consideration included in the transaction price is constrained to the amount for which it is probable that a significant reversal of cumulative revenue recognized will not occur when the uncertainty related to the variable consideration is resolved.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w:t>
      </w:r>
    </w:p>
    <w:p>
      <w:pPr>
        <w:spacing w:after="0" w:line="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If an arrangement includes development and regulatory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8" w:name="page119"/>
    <w:bookmarkEnd w:id="118"/>
    <w:p>
      <w:pPr>
        <w:ind w:right="240"/>
        <w:spacing w:after="0" w:line="282" w:lineRule="auto"/>
        <w:rPr>
          <w:sz w:val="20"/>
          <w:szCs w:val="20"/>
          <w:color w:val="auto"/>
        </w:rPr>
      </w:pPr>
      <w:r>
        <w:rPr>
          <w:rFonts w:ascii="Times New Roman" w:cs="Times New Roman" w:eastAsia="Times New Roman" w:hAnsi="Times New Roman"/>
          <w:sz w:val="18"/>
          <w:szCs w:val="18"/>
          <w:color w:val="auto"/>
        </w:rPr>
        <w:t>the transaction price. Milestone payments that are not within the Company’s control or the licensee’s control, such as regulatory approvals, are generally not considered probable of being achieved until those approvals are received.</w:t>
      </w:r>
    </w:p>
    <w:p>
      <w:pPr>
        <w:spacing w:after="0" w:line="54"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determining the transaction price, the Company adjusts consideration for the effects of the time value of money if the timing of payments provides the Company with a significant benefit of financing. The Company does not assess whether a contract has a significant financing component if the expectation at contract inception is such that the period between payment by the licensees and the transfer of the promised goods or services to the licensees will be one year or less.</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as revenue the amount of the transaction price that is allocated to the respective performance obligation when (or as) each performance obligation is satisfied, either at a point in time or over time, and if over time recognition is based on the use of an output or input method.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stock-based awards in accordance with FASB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ASC 718 requires all stock-based awards issued to employees and members of the Company’s board of directors for their services to be recognized as expense in the statements of operations based on their grant date fair values. For stock options and time-based restricted stock awards, the Company expenses the fair value of the awards on a straight-line basis over each award’s service period, which is generally the period in which the related services are received. For performance-based stock awards, the Company uses the accelerated attribution method to expense the awards over the implicit service period based on the probability of achieving the performance conditions. The Company accounts for stock-based awards to non-employees consistently with the accounting for awards to employees and measures stock-based awards granted to non-employees based on their grant date fair value and recognizes the resulting value as stock-based compensation expense during the period the related services are rendered. The Company has not issued any stock-based awards with market-based vesting conditions.</w:t>
      </w:r>
    </w:p>
    <w:p>
      <w:pPr>
        <w:spacing w:after="0" w:line="82"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options on the date of grant is calculated using the Black-Scholes option pricing model based on key assumptions such as stock price, expected volatility and expected term. The Company’s estimates of these assumptions are primarily based on the trading price of the Company’s stock, historical data, peer company data and judgment regarding future trends and factors. The Company accounts for forfeitures as they occur.</w:t>
      </w:r>
    </w:p>
    <w:p>
      <w:pPr>
        <w:spacing w:after="0" w:line="68"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Company’s equity incentive plan allows for the issuance of restricted stock awards to employees and non-employee consultants that may be subject to vesting. The unvested shares of any restricted stock awards are held in escrow as the stock award vests or until award holder termination, whichever occurs first. In the event of a sale of the Company, the Company has the obligation to repurchase at cost, the portion of unvested stock awards from the award holder. For all unvested stock awards, a liability is established related to the Company’s obligation for unvested awards at cost.</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provides for deferred taxes using an asset and liability approach. The Company recognizes deferred tax assets and liabilities for the expected future tax consequences of events that have been included in the consolidated financial statements or tax returns. Deferred tax assets and liabilities are determined based on the difference between the consolidated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Should the actual amounts differ from these estimates, the amount of the Company’s valuation allowance could be materially impacted. Changes in these estimates may result in significant increases or decreases to the tax provision in a period in which such estimates are changed, which in turn would affect net income or loss.</w:t>
      </w:r>
    </w:p>
    <w:p>
      <w:pPr>
        <w:spacing w:after="0" w:line="8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9" w:name="page120"/>
    <w:bookmarkEnd w:id="119"/>
    <w:p>
      <w:pPr>
        <w:ind w:right="380"/>
        <w:spacing w:after="0" w:line="282" w:lineRule="auto"/>
        <w:rPr>
          <w:sz w:val="20"/>
          <w:szCs w:val="20"/>
          <w:color w:val="auto"/>
        </w:rPr>
      </w:pPr>
      <w:r>
        <w:rPr>
          <w:rFonts w:ascii="Times New Roman" w:cs="Times New Roman" w:eastAsia="Times New Roman" w:hAnsi="Times New Roman"/>
          <w:sz w:val="18"/>
          <w:szCs w:val="18"/>
          <w:color w:val="auto"/>
        </w:rPr>
        <w:t>recognized in the period that includes the enactment date. A valuation allowance against deferred tax assets is recorded if, based upon the weight of all available evidence, it is more likely than not that some or all of the deferred tax assets will not be realized.</w:t>
      </w:r>
    </w:p>
    <w:p>
      <w:pPr>
        <w:spacing w:after="0" w:line="54" w:lineRule="exact"/>
        <w:rPr>
          <w:sz w:val="20"/>
          <w:szCs w:val="20"/>
          <w:color w:val="auto"/>
        </w:rPr>
      </w:pPr>
    </w:p>
    <w:p>
      <w:pPr>
        <w:ind w:right="360" w:firstLine="509"/>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 Considerations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financial statements to provide additional evidence for certain estimates or to identify matters that require additional disclosure. The Company has evaluated events occurring after the date of its consolidated balance sheet through the date these consolidated financial statements were issued (see Note 21).</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74"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280)—Improvements to Reportable Segment Disclosures</w:t>
      </w:r>
      <w:r>
        <w:rPr>
          <w:rFonts w:ascii="Times New Roman" w:cs="Times New Roman" w:eastAsia="Times New Roman" w:hAnsi="Times New Roman"/>
          <w:sz w:val="18"/>
          <w:szCs w:val="18"/>
          <w:color w:val="auto"/>
        </w:rPr>
        <w:t xml:space="preserve"> (“ASU 2023-07”). The amendments in this update improve reportable segment disclosure requirements through enhanced disclosures about significant segment expenses. All disclosure requirements of the update are required for entities with a single reportable segment. The amendments are effective for fiscal years beginning after December 15, 2023, and interim periods within fiscal years beginning after December 15, 2024, and should be applied on a retrospective basis to all periods presented. The Company adopted this standard as of January 1, 2024. The Company determined that adopting the amendments in ASU 2023-07 had no impact on the Company’s reportable segment identified and additional required disclosures have been included.</w:t>
      </w:r>
    </w:p>
    <w:p>
      <w:pPr>
        <w:spacing w:after="0" w:line="182" w:lineRule="exact"/>
        <w:rPr>
          <w:sz w:val="20"/>
          <w:szCs w:val="20"/>
          <w:color w:val="auto"/>
        </w:rPr>
      </w:pPr>
    </w:p>
    <w:p>
      <w:pPr>
        <w:ind w:right="2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740)—Improvements to Income Tax Disclosures</w:t>
      </w:r>
      <w:r>
        <w:rPr>
          <w:rFonts w:ascii="Times New Roman" w:cs="Times New Roman" w:eastAsia="Times New Roman" w:hAnsi="Times New Roman"/>
          <w:sz w:val="18"/>
          <w:szCs w:val="18"/>
          <w:color w:val="auto"/>
        </w:rPr>
        <w:t xml:space="preserve"> (“ASU 2023-09”). ASU 2023-09 provides more transparency about income tax information through improvements to income tax disclosures primarily related to the rate reconciliation and incomes taxes paid information. For public companies, the amendments are effective for annual periods beginning after December 15, 2024, and should be applied prospectively. The Company adopted this standard as of January 1, 2025. The Company determined that the effects of adopting the amendments in ASU 2023-09 had no impact on its consolidated financial position and the results of its operations and additional required disclosures have been included.</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19"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Disclosures (Subtopic 220-40)—Disaggregation of 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Expenses </w:t>
      </w:r>
      <w:r>
        <w:rPr>
          <w:rFonts w:ascii="Times New Roman" w:cs="Times New Roman" w:eastAsia="Times New Roman" w:hAnsi="Times New Roman"/>
          <w:sz w:val="18"/>
          <w:szCs w:val="18"/>
          <w:color w:val="auto"/>
        </w:rPr>
        <w:t>(“ASU 2024-03”) which is intended to improve disclosures about a public business entity's expenses, primarily through additional disaggregation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income statement expenses. ASU 2024-03 is effective for annual periods beginning after December 15, 2026, and interim periods beginning after December 15, 2027, with early adoption permitted. The amendments in ASU 2024-03 should be applied either prospectively to financial statements issued for reporting periods after the effective date or retrospectively to any or all prior periods presented in the financial statements. The Company is currently evaluating ASU 2024-03 to determine the impact on the Company's disclosures.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Accounting for the Merger</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described in Note 1, Merger Sub merged with and into Legacy Q32, with Legacy Q32 surviving as a wholly-owned subsidiary of the Company on March 25, 2024. The Merger was accounted for as a reverse recapitalization in accordance with GAAP with Legacy Q32 as the accounting acquirer of Homology. Legacy Q32 was determined to be the accounting acquirer based on the terms of the Merger Agreement and other factors, including: (i) Legacy Q32’s shareholders own a majority of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0" w:name="page121"/>
    <w:bookmarkEnd w:id="120"/>
    <w:p>
      <w:pPr>
        <w:ind w:right="100"/>
        <w:spacing w:after="0" w:line="261" w:lineRule="auto"/>
        <w:rPr>
          <w:sz w:val="20"/>
          <w:szCs w:val="20"/>
          <w:color w:val="auto"/>
        </w:rPr>
      </w:pPr>
      <w:r>
        <w:rPr>
          <w:rFonts w:ascii="Times New Roman" w:cs="Times New Roman" w:eastAsia="Times New Roman" w:hAnsi="Times New Roman"/>
          <w:sz w:val="18"/>
          <w:szCs w:val="18"/>
          <w:color w:val="auto"/>
        </w:rPr>
        <w:t>voting rights in the combined company; (ii) Legacy Q32 designated a majority (seven of nine) of the initial members of the board of directors of the combined company; (iii) Legacy Q32's executive management team became the management team of the combined company; (iv) the pre-combination assets of Homology were primarily cash and cash equivalents, short-term investments, and other non-operating assets; and (v) the combined company was named Q32 Bio Inc. and is headquartered in Legacy Q32’s office in Waltham, Massachusetts.</w:t>
      </w:r>
    </w:p>
    <w:p>
      <w:pPr>
        <w:spacing w:after="0" w:line="180"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At the effective time of the Merger, substantially all of the assets of Homology consisted of cash and cash equivalents, short-term investments, as well as other non-operating assets. Under such reverse recapitalization accounting, the assets and liabilities of Homology were recorded at their fair value in the Company’s financial statements at the effective time of the Merger, which approximated book value due to the short-term nature, except for the equity method investment as described below. Homology’s development programs had ceased prior to the Merger and were deemed to be de minimis in value at the transaction date. No goodwill or intangible assets were recognized.</w:t>
      </w:r>
    </w:p>
    <w:p>
      <w:pPr>
        <w:spacing w:after="0" w:line="183"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Consequently, the consolidated financial statements of the Company reflect the operations of Legacy Q32 for accounting purposes together with a deemed issuance of shares, equivalent to the shares held by the former stockholders Homology, the legal acquirer, and a recapitalization of the equity of Legacy Q32, the accounting acquirer.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part of the recapitalization, the Company obtained the assets and liabilities listed below (in thousands):</w:t>
      </w:r>
    </w:p>
    <w:p>
      <w:pPr>
        <w:spacing w:after="0" w:line="243"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53,158</w:t>
            </w:r>
          </w:p>
        </w:tc>
        <w:tc>
          <w:tcPr>
            <w:tcW w:w="6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19,905</w:t>
            </w:r>
          </w:p>
        </w:tc>
        <w:tc>
          <w:tcPr>
            <w:tcW w:w="6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6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6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(7,903)</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CVR liability</w:t>
            </w: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(5,080)</w:t>
            </w:r>
          </w:p>
        </w:tc>
      </w:tr>
      <w:tr>
        <w:trPr>
          <w:trHeight w:val="20"/>
        </w:trPr>
        <w:tc>
          <w:tcPr>
            <w:tcW w:w="4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65,944</w:t>
            </w:r>
          </w:p>
        </w:tc>
        <w:tc>
          <w:tcPr>
            <w:tcW w:w="60" w:type="dxa"/>
            <w:vAlign w:val="bottom"/>
            <w:shd w:val="clear" w:color="auto" w:fill="CFF0FC"/>
          </w:tcPr>
          <w:p>
            <w:pPr>
              <w:spacing w:after="0"/>
              <w:rPr>
                <w:sz w:val="19"/>
                <w:szCs w:val="19"/>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431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addition, the Company recognized $2.1 million in personnel cost related to severance payments and retention bonuses to Homology employees and this amount was recorded in general and administrative expense in the accompanying consolidated statement of operations for the year ended December 31, 2024. The Company also incurred transaction costs of $10.0 million and this amount is recorded in additional paid-in capital in the accompanying consolidated statements of convertible preferred stock and stockholders’ equity (deficit) for the year ended December 31, 2024.</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With respect to the CVRs issued in connection with the Merger, each CVR represents the contractual right to receive payments from the Company upon the actual receipt by the Company or its subsidiaries of certain contingent proceeds derived from any cash consideration that is paid to the Company or its subsidiaries as a result of the sale, transfer, license, assignment or other divestiture, disposition or commercialization of any of the Company’s assets, rights and interests relating to the following pre-merger assets of Homology: HMI-103, HMI-204, capsids and human hematopoietic stem cell-derived adeno-associated virus vector (“AAVHSC”) platform, including any equity interests held directly or indirectly by the Company in OXB (US) LLC.</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believes that the achievement of the milestones outlined in the CVR agreement related to Homology’s HMI-103, HMI-204, capsids and AAVHSC platform are highly susceptible to factors outside the Company's influence that are not expected to be resolved for a long period of time, if at all. In particular, these amounts are primarily influenced by the actions and judgments of third parties and the licensors of such assets and are based on the licensors of such assets progressing the in-process research and development assets, and in the case of one of the draft agreements, to certain milestones. As of March 25, 2024, the date of the Merger, the Company recorded a CVR liability of $0.2 million on the balance sheet relating to such contingent payments.</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For the portion of the CVR agreement that is related to Homology's equity interest in OXB (US) LLC, the Company recorded a CVR liability of $4.9 million representing its estimated fair value as of the date of the Merger. Pursuant to the Amended and Restated Limited Liability Company Agreement of OXB (US) LLC, at any time following the three-year anniversary of the closing of the transaction between OXB (US) LLC, Oxford Biomedica (US), Inc. and the Company (formerly known as Homology Medicines, Inc.) on March 10, 2022, (i) Oxford Biomedica (US), Inc. had an option to cause the Company to sell and transfer to Oxford Biomedica (US), Inc., and (ii) the Company had an option to cause Oxford Biomedica (US), Inc. to purchase from the Company, in each case, all of the Company’s equity ownership interest in OXB (US) LLC based on the Company's pro rata share of OXB (US) LLC (10%) times a predetermined multiple of revenue for the immediately preceding 12-month period increased by OXB (US) LLC's cash balance and decreased by OXB (US) LLC's debt balance as of the exercise date (together, the “Options”), subject to a maximum amount of $74.1 million. The Company utilized a monte carlo simulation model,</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1" w:name="page122"/>
    <w:bookmarkEnd w:id="121"/>
    <w:p>
      <w:pPr>
        <w:ind w:right="140"/>
        <w:spacing w:after="0" w:line="266" w:lineRule="auto"/>
        <w:rPr>
          <w:sz w:val="20"/>
          <w:szCs w:val="20"/>
          <w:color w:val="auto"/>
        </w:rPr>
      </w:pPr>
      <w:r>
        <w:rPr>
          <w:rFonts w:ascii="Times New Roman" w:cs="Times New Roman" w:eastAsia="Times New Roman" w:hAnsi="Times New Roman"/>
          <w:sz w:val="18"/>
          <w:szCs w:val="18"/>
          <w:color w:val="auto"/>
        </w:rPr>
        <w:t>also known as a probability simulation, to estimate the fair value of the CVR liability. For each simulated path of future revenue, a market approach using the predetermined revenue multiple was employed to determine the future value of the equity interest, which was then discounted to present value using OXB (US) LLC's estimated cost of debt.</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Pursuant to a change in control provision in the Amended and Restated Limited Liability Company Agreement of OXB (US) LLC, on March 1, 2025, Oxford Biomedica (US), Inc. exercised its option to cause the Company to sell and transfer to Oxford Biomedica (US), Inc., all of the Company's equity ownership interest in OXB (US) LLC. The sale price was based on a formula using the Company's pro rata share of OXB (US) LLC (10%), times a predetermined multiple of revenue for the immediately preceding 12-month period increased by OXB (US) LLC's cash balance and decreased by OXB (US) LLC's debt balance as of the exercise date. The Company and Oxford Biomedica (US), Inc. finalized the transaction and paid the CVR holders during the second quarter of 2025. See Notes 6 and 7 for more details surrounding this transaction.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Sale of Asset</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November 28, 2025, the Company completed the ADX-097 Asset Sale. As consideration for the ADX-097 Asset Sale, the Company (i) received an upfront payment of $7.0 million on November 28, 2025, and (ii) will receive a payment of $3.0 million on the six-month anniversary of the closing, or May 28, 2026. The Company will also receive a near-term milestone payment of $2.0 million upon the earlier of achievement of the first milestone under the Asset Purchase Agreement or December 31, 2026. In addition to these payments, the Company is eligible to receive up to $580.0 million upon the achievement of additional specified milestones, including up to $92.5 million related to development and regulatory milestones and up to $487.5 million related to commercial milestones. The Company is also eligible to receive tiered royalties on potential future sales of ADX-097 ranging from low single-digit to mid-teen percentages of annual net sales. The royalties will expire on a country-by-country basis on the later to occur of (a) the date of expiration of the last-to-expire valid claim of any transferred patent right that covers such product in such country, and (b) the tenth anniversary of the first commercial sale of such product.</w:t>
      </w:r>
    </w:p>
    <w:p>
      <w:pPr>
        <w:spacing w:after="0" w:line="188"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On November 28, 2025, in connection with the ADX-097 Asset Sale, the Colorado License Agreement (defined in Note 10) was amended and restated and all of the Company’s rights and obligations thereunder were transferred to Akebia.</w:t>
      </w:r>
    </w:p>
    <w:p>
      <w:pPr>
        <w:spacing w:after="0" w:line="162"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 accounted for the transaction as an asset sale and recognized $11.7 million, comprised of $12.0 million in guaranteed upfront and near-term milestones less certain contractual offsets, as a gain on sale of asset included in other income (expense) in the consolidated statements of operations for the year ended December 31, 2025. Any future milestones and royalties will be recognized when achieved.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carrying values of the Company’s prepaid expenses and other current assets, accounts payable, and accrued expenses and other current liabilities approximate their fair value due to their short-term nature. The carrying value of the Company’s term loan as of December 31, 2025 (see Note 11) approximated fair value based on interest rates currently available to the Company.</w:t>
      </w:r>
    </w:p>
    <w:p>
      <w:pPr>
        <w:spacing w:after="0" w:line="176"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tables below present information about the Company’s assets and liabilities that are regularly measured and carried at fair value on a recurring basis at December 31, 2025 and December 31, 2024 and indicate the level within the fair value hierarchy of the valuation techniques the Company utilized to determine such fair value, which is described further within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Financial assets measured at fair value on a recurring basis as of December 31, 2025 are summarized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Balance as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of December 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34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020" w:type="dxa"/>
            <w:vAlign w:val="bottom"/>
            <w:gridSpan w:val="3"/>
            <w:shd w:val="clear" w:color="auto" w:fill="CFF0FC"/>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46,941</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46,941</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4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340" w:type="dxa"/>
            <w:vAlign w:val="bottom"/>
          </w:tcPr>
          <w:p>
            <w:pPr>
              <w:jc w:val="right"/>
              <w:ind w:right="1453"/>
              <w:spacing w:after="0"/>
              <w:rPr>
                <w:sz w:val="20"/>
                <w:szCs w:val="20"/>
                <w:color w:val="auto"/>
              </w:rPr>
            </w:pPr>
            <w:r>
              <w:rPr>
                <w:rFonts w:ascii="Times New Roman" w:cs="Times New Roman" w:eastAsia="Times New Roman" w:hAnsi="Times New Roman"/>
                <w:sz w:val="18"/>
                <w:szCs w:val="18"/>
                <w:color w:val="auto"/>
              </w:rPr>
              <w:t>Total cash equivalents</w:t>
            </w:r>
          </w:p>
        </w:tc>
        <w:tc>
          <w:tcPr>
            <w:tcW w:w="2020" w:type="dxa"/>
            <w:vAlign w:val="bottom"/>
            <w:gridSpan w:val="3"/>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0" w:type="dxa"/>
            <w:vAlign w:val="bottom"/>
          </w:tcPr>
          <w:p>
            <w:pPr>
              <w:spacing w:after="0"/>
              <w:rPr>
                <w:sz w:val="21"/>
                <w:szCs w:val="21"/>
                <w:color w:val="auto"/>
              </w:rPr>
            </w:pPr>
          </w:p>
        </w:tc>
        <w:tc>
          <w:tcPr>
            <w:tcW w:w="3340" w:type="dxa"/>
            <w:vAlign w:val="bottom"/>
            <w:shd w:val="clear" w:color="auto" w:fill="CFF0FC"/>
          </w:tcPr>
          <w:p>
            <w:pPr>
              <w:jc w:val="right"/>
              <w:ind w:right="1453"/>
              <w:spacing w:after="0"/>
              <w:rPr>
                <w:sz w:val="20"/>
                <w:szCs w:val="20"/>
                <w:color w:val="auto"/>
              </w:rPr>
            </w:pPr>
            <w:r>
              <w:rPr>
                <w:rFonts w:ascii="Times New Roman" w:cs="Times New Roman" w:eastAsia="Times New Roman" w:hAnsi="Times New Roman"/>
                <w:sz w:val="18"/>
                <w:szCs w:val="18"/>
                <w:color w:val="auto"/>
              </w:rPr>
              <w:t>Total financial assets</w:t>
            </w:r>
          </w:p>
        </w:tc>
        <w:tc>
          <w:tcPr>
            <w:tcW w:w="2020" w:type="dxa"/>
            <w:vAlign w:val="bottom"/>
            <w:gridSpan w:val="3"/>
            <w:shd w:val="clear" w:color="auto" w:fill="CFF0FC"/>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46,941</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46,941</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580" w:type="dxa"/>
            <w:vAlign w:val="bottom"/>
          </w:tcPr>
          <w:p>
            <w:pPr>
              <w:spacing w:after="0"/>
              <w:rPr>
                <w:sz w:val="24"/>
                <w:szCs w:val="24"/>
                <w:color w:val="auto"/>
              </w:rPr>
            </w:pPr>
          </w:p>
        </w:tc>
        <w:tc>
          <w:tcPr>
            <w:tcW w:w="3340" w:type="dxa"/>
            <w:vAlign w:val="bottom"/>
            <w:tcBorders>
              <w:top w:val="single" w:sz="8" w:color="CFF0FC"/>
            </w:tcBorders>
          </w:tcPr>
          <w:p>
            <w:pPr>
              <w:spacing w:after="0"/>
              <w:rPr>
                <w:sz w:val="24"/>
                <w:szCs w:val="24"/>
                <w:color w:val="auto"/>
              </w:rPr>
            </w:pPr>
          </w:p>
        </w:tc>
        <w:tc>
          <w:tcPr>
            <w:tcW w:w="1880" w:type="dxa"/>
            <w:vAlign w:val="bottom"/>
            <w:tcBorders>
              <w:top w:val="single" w:sz="8" w:color="CFF0FC"/>
            </w:tcBorders>
            <w:gridSpan w:val="2"/>
          </w:tcPr>
          <w:p>
            <w:pPr>
              <w:ind w:left="1540"/>
              <w:spacing w:after="0"/>
              <w:rPr>
                <w:sz w:val="20"/>
                <w:szCs w:val="20"/>
                <w:color w:val="auto"/>
              </w:rPr>
            </w:pPr>
            <w:r>
              <w:rPr>
                <w:rFonts w:ascii="Times New Roman" w:cs="Times New Roman" w:eastAsia="Times New Roman" w:hAnsi="Times New Roman"/>
                <w:sz w:val="18"/>
                <w:szCs w:val="18"/>
                <w:color w:val="auto"/>
                <w:w w:val="93"/>
              </w:rPr>
              <w:t>F-19</w:t>
            </w: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-1224915</wp:posOffset>
            </wp:positionV>
            <wp:extent cx="603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-1224915</wp:posOffset>
            </wp:positionV>
            <wp:extent cx="603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-1224915</wp:posOffset>
            </wp:positionV>
            <wp:extent cx="603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-1224915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-933450</wp:posOffset>
            </wp:positionV>
            <wp:extent cx="603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-916305</wp:posOffset>
            </wp:positionV>
            <wp:extent cx="603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-933450</wp:posOffset>
            </wp:positionV>
            <wp:extent cx="603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-916305</wp:posOffset>
            </wp:positionV>
            <wp:extent cx="603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-933450</wp:posOffset>
            </wp:positionV>
            <wp:extent cx="603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-916305</wp:posOffset>
            </wp:positionV>
            <wp:extent cx="603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-933450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-916305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2" w:name="page123"/>
    <w:bookmarkEnd w:id="122"/>
    <w:p>
      <w:pPr>
        <w:jc w:val="center"/>
        <w:ind w:right="20"/>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as of December 31, 2024 are summarized as follows (in thousands):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Balance as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of December 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5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76,089</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76,089</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financial assets</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76,089</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76,089</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1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CVR liability</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-762635</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-762635</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-762635</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-762635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-471170</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-454025</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-471170</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-454025</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-471170</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-454025</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-471170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-454025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Money market funds</w:t>
      </w:r>
    </w:p>
    <w:p>
      <w:pPr>
        <w:spacing w:after="0" w:line="119"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Money market funds were valued by the Company using quoted prices in active markets for identical securities, which represent a Level 1 measurement within the fair value hierarchy.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CVR liability</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discussed in Notes 1 and 3, at the effective time of the Merger, each person who as of immediately prior to the effective time of the Merger was a stockholder of record of Homology or had the right to receive Homology’s common stock received a CVR, issued by Homology subject to and in accordance with the terms and conditions of a CVR Agreement, representing the contractual right to receive cash payments from the combined company upon the receipt of certain proceeds from a disposition of Homology’s pre-merger assets, calculated in accordance with the CVR Agreement. The Company concluded that the CVR liability was a derivative liability accounted for at fair value. The fair value of the CVR liability was based on significant unobservable inputs, which represent Level 3 measurements within the fair value hierarchy. For the portion of the CVR liability that was related to Homology's equity interest in OXB (US) LLC, the Company utilized a monte carlo simulation model, also known as a probability simulation, to estimate the fair value of the CVR liability at December 31, 2024. This model requires the use of estimates and assumptions including estimated future revenues and discount rates. Upon Oxford Biomedica (US), Inc.'s exercise of its option to cause the Company to sell and transfer to Oxford Biomedica (US), Inc. all of the Company’s equity ownership interest in OXB (US) LLC in June 2025, the Company received proceeds from Oxford Biomedica (US), Inc. and then remitted those proceeds to the CVR holders, and subsequently removed the associated CVR liability and recorded $0.4 million for the change in estimated fair value during the twelve months ended December 31, 2025 in other income (expense), net.</w:t>
      </w:r>
    </w:p>
    <w:p>
      <w:pPr>
        <w:spacing w:after="0" w:line="190"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For the portion of the CVR liability related to Homology's HMI-103, HMI-204, capsids and AAVHSC platform, the Company's fair value assessment includes judgments around the probability of progressing the in-process research and development assets. As of December 31, 2025, the Company's assessment resulted in a CVR liability of zero.</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Legacy Q32 issued convertible notes (the “Convertible Notes”) totaling $30.0 million during the year ended December 31, 2022. Legacy Q32 concluded that the Convertible Notes and its related features are within the scope of FASB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as a combined financial instrument, and Legacy Q32 elected the fair value option where changes in fair value of the Convertible Notes are measured through the accompanying consolidated statement of operations until settlement. The Convertible Notes liability represents a Level 3 measurement within the fair value hierarchy as it has been valued using certain unobservable inputs.</w:t>
      </w:r>
    </w:p>
    <w:p>
      <w:pPr>
        <w:spacing w:after="0" w:line="183"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Upon closing of the Merger, Legacy Q32 converted the outstanding Convertible Notes plus accrued interest into shares of common stock at 90% of the purchase price of the mandatory conversion event. As the Convertible Notes are recorded at fair value, a gain of $15.9 million on the change in the fair value prior to the conversion of convertible notes is reflected in the consolidated statement of operations for the year ended December 31, 2024 (see Note 11).</w:t>
      </w:r>
    </w:p>
    <w:p>
      <w:pPr>
        <w:spacing w:after="0" w:line="18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there were no transfers between Level 1, Level 2 and Level 3 measurements. There have been no impairments of the Company’s assets measured and carried at fair value during the years ended December 31, 2025 and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6. Investment in Equity Securities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part of the Merger, the Company obtained Homology's 20% equity interest in OXB (US) LLC, an AAV vector process development and manufacturing services company. At that time, the Company had significant influence over, but did not control, OXB (US) LLC through its noncontrolling representation on OXB (US) LLC’s board of directors and the Company’s equity interest in OXB (US) LLC. Accordingly, the Company did not consolidate the financial statements of OXB (US) LLC and accounted for its investment using the equity method of accounting.</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recorded its equity method investment in OXB (US) LLC at fair value upon the effective date of the Merger. The fair value of the equity method investment was determined based on the market approach. This approach estimated the fair value of OXB (US) LLC based on the implied value for the entity, including the Options (as defined in Note 3 above), for a controlling interest in OXB (US) LLC at the entity’s formation. As part of its fair value analysis, the Company determined that the Options were embedded in the Company’s ownership units of OXB (US) LLC because the Options were not legally detachable or separately exercisable. Accordingly, the equity method investment and the Options represented one unit of account and the fair value recorded reflected the value of the equity interest and the Options (refer to Note 3 for more information for how the fair value was determined).</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As a result of transactions by OXB (US) LLC, the Company’s investment was diluted to a 10% equity interest in OXB (US) LLC on May 22, 2024, and the Company no longer had the ability to exert significant influence over the operating and financial policies of OXB (US) LLC. The Company discontinued the equity method of accounting for the investment in OXB (US) LLC on May 22, 2024 and determined the remaining investment to be an equity security accounted for in accordance with FASB ASC Topic 321, </w:t>
      </w:r>
      <w:r>
        <w:rPr>
          <w:rFonts w:ascii="Times New Roman" w:cs="Times New Roman" w:eastAsia="Times New Roman" w:hAnsi="Times New Roman"/>
          <w:sz w:val="18"/>
          <w:szCs w:val="18"/>
          <w:i w:val="1"/>
          <w:iCs w:val="1"/>
          <w:color w:val="auto"/>
        </w:rPr>
        <w:t>Investments—Equity Securities</w:t>
      </w:r>
      <w:r>
        <w:rPr>
          <w:rFonts w:ascii="Times New Roman" w:cs="Times New Roman" w:eastAsia="Times New Roman" w:hAnsi="Times New Roman"/>
          <w:sz w:val="18"/>
          <w:szCs w:val="18"/>
          <w:color w:val="auto"/>
        </w:rPr>
        <w:t xml:space="preserve"> (“ASC 321”) at the date the investment no longer qualified for the equity method of accounting. The Company recorded the equity instrument at fair value and applied the measurement alternative under ASC 321 such that the Company would not change the amount recorded for the equity instrument unless the Company identified observable price changes in orderly transactions for the identical or similar investment of the same issuer or the equity instrument was otherwise deemed to be impaired.</w:t>
      </w:r>
    </w:p>
    <w:p>
      <w:pPr>
        <w:spacing w:after="0" w:line="189"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At each reporting period, the Company was required to make a qualitative assessment considering impairment indicators to evaluate whether the investment was impaired. If deemed impaired, the Company was required to estimate the fair value of the investment and recognize an impairment loss equal to the difference between the fair value of the investment and its carry amount.</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March 1, 2025, Oxford Biomedica (US), Inc. exercised its option to cause the Company to sell and transfer to Oxford Biomedica (US), Inc. all of the Company’s equity ownership interest in OXB (US) LLC. In June 2025, the Company finalized the sale of its 10% equity interest in OXB (US) LLC to Oxford Biomedica (US), Inc. and received $2.5 million from Oxford Biomedica (US), Inc., calculated using the Company's pro rata share of OXB (US) LLC (10%), times a predetermined multiple of revenue for the immediately preceding 12-month period increased by OXB (US) LLC's cash balance and decreased by OXB (US) LLC's debt balance as of the exercise date, and reduced the associated equity investment on its condensed consolidated balance sheet to zero.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tcPr>
          <w:p>
            <w:pPr>
              <w:spacing w:after="0"/>
              <w:rPr>
                <w:sz w:val="18"/>
                <w:szCs w:val="18"/>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(1,844)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(1,453)</w:t>
            </w:r>
          </w:p>
        </w:tc>
      </w:tr>
      <w:tr>
        <w:trPr>
          <w:trHeight w:val="250"/>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-24765</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for the years ended December 31, 2025 and 2024 was approximately $0.4 million and $0.5 million, respectively. No impairment losses occurred in 2025 and 2024. The Company had no losses on disposal of fixed assets in 2025 and 2024.</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8. Prepaid Expenses, Other Current Assets and Other Noncurrent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due under Asset Purchase Agreement</w:t>
            </w:r>
          </w:p>
        </w:tc>
        <w:tc>
          <w:tcPr>
            <w:tcW w:w="70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4,837</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Prepaid external research and development</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tax credit</w:t>
            </w:r>
          </w:p>
        </w:tc>
        <w:tc>
          <w:tcPr>
            <w:tcW w:w="7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7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6,753</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431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right="560" w:firstLine="449"/>
        <w:spacing w:after="0" w:line="282" w:lineRule="auto"/>
        <w:rPr>
          <w:sz w:val="20"/>
          <w:szCs w:val="20"/>
          <w:color w:val="auto"/>
        </w:rPr>
      </w:pPr>
      <w:r>
        <w:rPr>
          <w:rFonts w:ascii="Times New Roman" w:cs="Times New Roman" w:eastAsia="Times New Roman" w:hAnsi="Times New Roman"/>
          <w:sz w:val="18"/>
          <w:szCs w:val="18"/>
          <w:color w:val="auto"/>
        </w:rPr>
        <w:t>Included in prepaid external research and development is a deposit of $0.2 million that has been transferred to a payment processor to pay out investigator site fees related to our SIGNAL-AA Part B and OLE trials.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noncurrent assets consisted of the following as of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external research and development - long term</w:t>
            </w:r>
          </w:p>
        </w:tc>
        <w:tc>
          <w:tcPr>
            <w:tcW w:w="74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431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8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70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2,486</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external research and development</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8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services and other</w:t>
            </w:r>
          </w:p>
        </w:tc>
        <w:tc>
          <w:tcPr>
            <w:tcW w:w="7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tcPr>
          <w:p>
            <w:pPr>
              <w:spacing w:after="0"/>
              <w:rPr>
                <w:sz w:val="18"/>
                <w:szCs w:val="18"/>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70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4,232</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80" w:type="dxa"/>
            <w:vAlign w:val="bottom"/>
            <w:shd w:val="clear" w:color="auto" w:fill="CFF0FC"/>
          </w:tcPr>
          <w:p>
            <w:pPr>
              <w:spacing w:after="0"/>
              <w:rPr>
                <w:sz w:val="19"/>
                <w:szCs w:val="19"/>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431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431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ongoing clinical studies in various clinical trial stages. Its most significant contracts relate to agreements with CROs for clinical trials and preclinical studies and CDMOs for manufacturing which the Company enters into in the normal course of business. The contracts with CROs and CDMOs are generally cancellable, with notice, at the Company’s option.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2021 the Company entered into a long-term operating lease agreement for its current corporate headquarters in Waltham, Massachusetts (“headquarters lease”). The headquarters lease provides approximately 15,000 square feet for general office use and research lab facilities. The headquarters lease commencement date was January 1, 2022 and the Company did not take control or have the right to use the leased property until this time. The lease term ends in December 2031. The Company has an option to extend the lease term for an additional five years. The initial rent for the office space is approximately $1.0 million per year, increasing every year by 3% for total aggregate payment of $11.1 million. Upon the commencement date, the Company established a right-of-use asset and lease liability on the consolidated balance sheet. As part of the agreement, the Company arranged for a letter of credit for $0.6 million as a security for the headquarters lease, which is considered restricted cash and included as restricted cash and restricted cash equivalents in the consolidated balance sheet. The Company received $0.4 million in a tenant improvement allowance that was applied against the right-of-use asset.</w:t>
      </w:r>
    </w:p>
    <w:p>
      <w:pPr>
        <w:spacing w:after="0" w:line="18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Company’s headquarters lease had a weighted-average remaining lease term of 6.0 years and weighted average incremental borrowing rate of 7.5%.</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25" w:name="page126"/>
    <w:bookmarkEnd w:id="125"/>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Amounts reported in the consolidated balance sheet for leases where the Company is the lessee as of December 31, 2025 and December 31, 2024 were as follows (in thousands):</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0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5,100</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vMerge w:val="continue"/>
          </w:tcPr>
          <w:p>
            <w:pPr>
              <w:spacing w:after="0"/>
              <w:rPr>
                <w:sz w:val="21"/>
                <w:szCs w:val="21"/>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right-of-use assets</w:t>
            </w:r>
          </w:p>
        </w:tc>
        <w:tc>
          <w:tcPr>
            <w:tcW w:w="700" w:type="dxa"/>
            <w:vAlign w:val="bottom"/>
            <w:shd w:val="clear" w:color="auto" w:fill="CFF0FC"/>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5,100</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7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7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0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w:t>
            </w:r>
          </w:p>
        </w:tc>
        <w:tc>
          <w:tcPr>
            <w:tcW w:w="7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4,943</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700" w:type="dxa"/>
            <w:vAlign w:val="bottom"/>
            <w:shd w:val="clear" w:color="auto" w:fill="CFF0FC"/>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5,636</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-882015</wp:posOffset>
            </wp:positionV>
            <wp:extent cx="431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-864870</wp:posOffset>
            </wp:positionV>
            <wp:extent cx="431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-882015</wp:posOffset>
            </wp:positionV>
            <wp:extent cx="431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-864870</wp:posOffset>
            </wp:positionV>
            <wp:extent cx="431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431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431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operating lease costs for the years ended December 31, 2025 and 2024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8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lease costs</w:t>
            </w:r>
          </w:p>
        </w:tc>
        <w:tc>
          <w:tcPr>
            <w:tcW w:w="70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1,060</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18"/>
                <w:szCs w:val="18"/>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70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1,762</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80" w:type="dxa"/>
            <w:vAlign w:val="bottom"/>
            <w:shd w:val="clear" w:color="auto" w:fill="CFF0FC"/>
          </w:tcPr>
          <w:p>
            <w:pPr>
              <w:spacing w:after="0"/>
              <w:rPr>
                <w:sz w:val="19"/>
                <w:szCs w:val="19"/>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431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431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Variable lease costs were primarily related to operating expenses, taxes and insurance associated with the operating lease, which were assessed based on the Company’s proportionate share of such costs for the leased premises. As these costs are generally variable in nature, they were not included in the measurement of the operating lease right-of-use asset and related lease liability. Total lease costs are included as operating expenses in the Company’s consolidated statements of operations. Future minimum lease payments under non-cancelable lease agreement as of December 31, 2025 and a reconciliation to the carrying amount of the lease liabilities presented in the consolidated balance sheet are as follows (in thousands):</w:t>
      </w:r>
    </w:p>
    <w:p>
      <w:pPr>
        <w:spacing w:after="0" w:line="165"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Minimum</w:t>
            </w:r>
          </w:p>
        </w:tc>
      </w:tr>
      <w:tr>
        <w:trPr>
          <w:trHeight w:val="148"/>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Rental</w:t>
            </w:r>
          </w:p>
        </w:tc>
      </w:t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Payments</w:t>
            </w:r>
          </w:p>
        </w:tc>
      </w:tr>
      <w:tr>
        <w:trPr>
          <w:trHeight w:val="210"/>
        </w:trPr>
        <w:tc>
          <w:tcPr>
            <w:tcW w:w="20" w:type="dxa"/>
            <w:vAlign w:val="bottom"/>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7,061</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(1,425)</w:t>
            </w:r>
          </w:p>
        </w:tc>
      </w:tr>
      <w:tr>
        <w:trPr>
          <w:trHeight w:val="249"/>
        </w:trPr>
        <w:tc>
          <w:tcPr>
            <w:tcW w:w="20" w:type="dxa"/>
            <w:vAlign w:val="bottom"/>
          </w:tcPr>
          <w:p>
            <w:pPr>
              <w:spacing w:after="0"/>
              <w:rPr>
                <w:sz w:val="21"/>
                <w:szCs w:val="21"/>
                <w:color w:val="auto"/>
              </w:rPr>
            </w:pPr>
          </w:p>
        </w:tc>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5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Lease liability, current portion</w:t>
            </w:r>
          </w:p>
        </w:tc>
        <w:tc>
          <w:tcPr>
            <w:tcW w:w="1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693</w:t>
            </w: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-471170</wp:posOffset>
            </wp:positionV>
            <wp:extent cx="514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-453390</wp:posOffset>
            </wp:positionV>
            <wp:extent cx="514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514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Prior to the Merger, Homology was subleasing office and research and development laboratory space in Bedford, Massachusetts, under a sublease agreement with OXB (US) LLC that expired in December 2024. At the effective time of the Merger, the Company recorded a liability of approximately $1.0 million representing the present value of the future minimum</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26" w:name="page127"/>
    <w:bookmarkEnd w:id="126"/>
    <w:p>
      <w:pPr>
        <w:ind w:right="440"/>
        <w:spacing w:after="0" w:line="282" w:lineRule="auto"/>
        <w:rPr>
          <w:sz w:val="20"/>
          <w:szCs w:val="20"/>
          <w:color w:val="auto"/>
        </w:rPr>
      </w:pPr>
      <w:r>
        <w:rPr>
          <w:rFonts w:ascii="Times New Roman" w:cs="Times New Roman" w:eastAsia="Times New Roman" w:hAnsi="Times New Roman"/>
          <w:sz w:val="18"/>
          <w:szCs w:val="18"/>
          <w:color w:val="auto"/>
        </w:rPr>
        <w:t>lease payments due under this sublease. As of December 31, 2025, all amounts under the sublease agreement have been paid and there are no accrued expenses or liabilities on the Company's consolidated balance sheet related to the sublease.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the University of Colorado</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August 2017, the Company entered into an exclusive license agreement, as amended in February 2018, September 2018, and April 2019 (the “Colorado License Agreement”), with The Regents of the University of Colorado (“Colorado”), pursuant to which the Company obtained worldwide, royalty-bearing, sublicensable licenses under certain patents and know-how owned by Colorado and Medical University of South Carolina (“MUSC”) relating to the research, development and commercialization of ADX-097. The licenses granted to the Company are exclusive with respect to certain patent families and know-how and non-exclusive with certain other patent families and know-how. The licenses granted to the Company are also subject to certain customary retained rights of Colorado and MUSC and rights of the United States government owing to federal funding giving rise to inventions covered by the licensed patents. The Company agreed to use commercially reasonable efforts to develop, manufacture and commercialize ADX-097, including by using commercially reasonable efforts to achieve specified development and regulatory milestones by specified dates.</w:t>
      </w:r>
    </w:p>
    <w:p>
      <w:pPr>
        <w:spacing w:after="0" w:line="19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addition, the Company agreed to pay Colorado (i) development and sales milestone payments in an aggregate amount of up to $2.2 million per licensed product for the first three products, (ii) tiered royalty rates on cumulative net sales of licensed products in the low single digit percentages, (iii) 15% of sublicense income and (iv) ongoing fees associated with the prosecution, maintenance, or filing of the licensed patents. The Company’s obligation to pay royalties to Colorado commences, on a licensed product-by-licensed product and country-by-country basis, from the first commercial sale of a licensed product in any country and expires on the later of (a) the last to expire valid claim within the licensed patents covering such licensed product in such country, and (b) 20 years following the effective date of the Colorado License Agreement, or April 2037 (the “Royalty Term”).</w:t>
      </w:r>
    </w:p>
    <w:p>
      <w:pPr>
        <w:spacing w:after="0" w:line="18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On November 28, 2025, in connection with the ADX-097 Asset Sale, the Colorado License Agreement was amended and restated and all of the Company’s rights and obligations thereunder were transferred to Akebia.</w:t>
      </w:r>
    </w:p>
    <w:p>
      <w:pPr>
        <w:spacing w:after="0" w:line="162"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had zero research and development expense for any milestone related to the Colorado License Agreement. The financial statements as of December 31, 2025 and 2024 do not include liabilities with respect to royalty fees on the license agreement as the Company has not yet generated revenue and the achievement of certain milestones is not yet probable.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Bristol-Myers Squibb Company</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2019, the Company entered into a license agreement, as amended in August 2021 and July 2022 (the “BMS License Agreement”), with Bristol-Myers Squibb Company (“BMS”), pursuant to which the Company obtained sublicensable licenses from BMS to research, develop and commercialize licensed products, including bempikibart, for any and all uses worldwide. The licenses granted to the Company are exclusive with respect to BMS’s patent rights and know-how relating to certain antibody fragments (including certain fragments of bempikibart) and non-exclusive with respect to BMS’s patent rights and know-how relating to the composition of matter and use of a specific region of bempikibart. BMS retained the right for it and its affiliates to use the exclusively licensed patents and know-how for internal, preclinical research purposes. Under the BMS License Agreement, the Company is prohibited from engaging in certain clinical development or commercialization of any antibody other than a licensed compound with the same mechanism of action until the earlier of the expiration of Q32’s obligation to pay BMS royalties or September 2029.</w:t>
      </w:r>
    </w:p>
    <w:p>
      <w:pPr>
        <w:spacing w:after="0" w:line="192"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In consideration for the license, the Company made an upfront payment to BMS of $8 million, issued 318,278 Series A preferred shares to BMS and agreed to use commercially reasonable efforts to develop and commercialize at least one licensed product in key geographic markets. In addition, the Company agreed to pay BMS (i) development and regulatory milestone payments in aggregate amounts ranging from $32 million to $49 million per indication for the first three indications and commercial milestone payments in an aggregate amount of up to $215 million on net sales of licensed products,</w:t>
      </w:r>
    </w:p>
    <w:p>
      <w:pPr>
        <w:spacing w:after="0" w:line="3" w:lineRule="exact"/>
        <w:rPr>
          <w:sz w:val="20"/>
          <w:szCs w:val="20"/>
          <w:color w:val="auto"/>
        </w:rPr>
      </w:pPr>
    </w:p>
    <w:p>
      <w:pPr>
        <w:ind w:right="160" w:firstLine="8"/>
        <w:spacing w:after="0" w:line="255" w:lineRule="auto"/>
        <w:tabs>
          <w:tab w:leader="none" w:pos="2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tiered royalties ranging from rates in the mid-single digit percentages to up to 10% of net sales, with increasing rates depending on the cumulative net sales, (iii) up to 60% of sublicense income, which percentage decreases based on the development stage of bempikibart at the time of the sublicensing event, and (iv) ongoing fees associated with the prosecution, maintenance, or filing of the licensed patents.</w:t>
      </w:r>
    </w:p>
    <w:p>
      <w:pPr>
        <w:spacing w:after="0" w:line="18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Company’s obligation to pay BMS royalties under subsection (ii) above commences, on a licensed product-by-licensed product and country-by-country basis on the first commercial sale of a licensed product in a country and expires on the later of (x)</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127" w:name="page128"/>
    <w:bookmarkEnd w:id="127"/>
    <w:p>
      <w:pPr>
        <w:ind w:right="80"/>
        <w:spacing w:after="0" w:line="261" w:lineRule="auto"/>
        <w:rPr>
          <w:sz w:val="20"/>
          <w:szCs w:val="20"/>
          <w:color w:val="auto"/>
        </w:rPr>
      </w:pPr>
      <w:r>
        <w:rPr>
          <w:rFonts w:ascii="Times New Roman" w:cs="Times New Roman" w:eastAsia="Times New Roman" w:hAnsi="Times New Roman"/>
          <w:sz w:val="18"/>
          <w:szCs w:val="18"/>
          <w:color w:val="auto"/>
        </w:rPr>
        <w:t>12 years from the first commercial sale of such Licensed Product in such country, (y) the last to expire licensed patent right covering bempikibart or such licensed product in such country, and (z) the expiration or regulatory or marketing exclusivity for such licensed product in such country (Royalty Term). If the Company undergoes a change of control prior to certain specified phase of development, the development and milestone payments are subject to increase by a low double digit percentage and the royalty rates are subject to increase by a low sub single digit percentage.</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Unless terminated earlier by either party pursuant to its terms, the BMS License Agreement will expire on a country-by-country and licensed product-by-licensed product basis upon the expiration of the last to expire Royalty Term with respect to such licensed product in such country. Either party may terminate the BMS License Agreement for the other party’s material breach, subject to a specified notice and cure period. BMS may terminate the BMS License Agreement if the Company fails to meet its diligence obligations under the BMS License Agreement, for the Company’s insolvency, or if the Company or its affiliates challenges the validity, scope, enforceability, or patentability of any of the licensed patents. The Company may terminate the BMS License Agreement for any reason upon prior written notice to BMS, with a longer notice period if a licensed product has received regulatory approval. If the BMS Agreement is terminated for the Company’s material breach, BMS will regain rights to bempikibart and the Company must grant BMS an exclusive license under the Company’s patent rights covering bempikibart, subject to a low single digit percentage royalty on net sales of bempikibart payable to the Company by BMS.</w:t>
      </w:r>
    </w:p>
    <w:p>
      <w:pPr>
        <w:spacing w:after="0" w:line="18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July 2024, the Company made a $4.0 million development milestone payment to BMS and recorded it as research and development expenses. As of December 31, 2025, no further events have occurred that would require payment of milestones, royalties or sublicense fees.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is not currently party to any material legal proceedings. The Company accounts for estimated losses with respect to legal proceedings and claims when such losses are probable and reasonably estimable. Legal costs associated with these matters are expensed when incurred.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Arrangements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As permitted under Delaware law, the Company has agreements whereby it indemnifies certain of its investors, stockholders, employees, officers, and directors (collectively, the “Indemnified Parties”) for certain events or occurrences while the Indemnified Parties are, or were serving, at its request in such capacity. The maximum potential amount of future payments the Company could be required to make under these indemnification agreements is unlimited; however, the Company has an Executive Liability insurance policy that limits its exposure and enables it to recover a portion of any future amounts paid up to $5.0 million. The Company believes the estimated fair value of these indemnification agreements is minimal. The Company enters into standard indemnification agreements in the ordinary course of business. Pursuant to these agreements, the Company indemnifies, holds harmless, and agrees to reimburse the Indemnified Parties for losses suffered or incurred by the Indemnified Parties, generally the Company’s business partners or customers, in connection with any U.S. patent or any copyright or other intellectual property infringement claim by any third party with respect to the Company’s products.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98" w:lineRule="exact"/>
        <w:rPr>
          <w:sz w:val="20"/>
          <w:szCs w:val="20"/>
          <w:color w:val="auto"/>
        </w:rPr>
      </w:pPr>
    </w:p>
    <w:p>
      <w:pPr>
        <w:ind w:right="10180" w:firstLine="8"/>
        <w:spacing w:after="0" w:line="378" w:lineRule="auto"/>
        <w:tabs>
          <w:tab w:leader="none" w:pos="27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Venture Debt</w:t>
      </w: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December 2020, the Company entered into a Loan and Security Agreement, as amended in June 2022, August 2022, December 2022, April 2023, July 2023, November 2023, March 2024 and July 2024, with Silicon Valley Bank, a California corporation (the “Loan Agreement”) for a lending facility of up to $25.0 million. The Company received $5.0 million upon execution of the Loan Agreement which it repaid in July 2023, a $5.5 million term loan advance in July 2023 and a $7.0 million term loan advance in March 2024. The Company no longer has the ability to draw down any additional loan advances. The term loan bears interest at an annual rate equal to the greater of the prime rate minus 0.25% or 8.00%. The Loan Agreement provided for interest-only payments until July 1, 2025, followed by 24 equal monthly payments of principal plus interest. The loan matures on July 1, 2027. In addition, the Company paid a fee of $0.1 million upon closing and is required to pay a fee of 3.5% of the aggregate amount of advances under the Loan Agreement at maturity. At its option, the Company may elect to prepay all or a portion of the outstanding advances by paying the principal balance, and all accrued and unpaid interest, and a prepayment premium. In connection with the Loan Agreement, the Company granted the lender a security interest in all of its personal property now owned or hereafter acquired, excluding intellectual property (but including the rights to payment and proceeds from the sale, licensing or disposition of intellectual property), and a negative pledge on intellectual property. The Loan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8" w:name="page129"/>
    <w:bookmarkEnd w:id="128"/>
    <w:p>
      <w:pPr>
        <w:ind w:right="20"/>
        <w:spacing w:after="0" w:line="266" w:lineRule="auto"/>
        <w:rPr>
          <w:sz w:val="20"/>
          <w:szCs w:val="20"/>
          <w:color w:val="auto"/>
        </w:rPr>
      </w:pPr>
      <w:r>
        <w:rPr>
          <w:rFonts w:ascii="Times New Roman" w:cs="Times New Roman" w:eastAsia="Times New Roman" w:hAnsi="Times New Roman"/>
          <w:sz w:val="18"/>
          <w:szCs w:val="18"/>
          <w:color w:val="auto"/>
        </w:rPr>
        <w:t>also contains certain events of default, representations, warranties and non-financial covenants of the Company. If the Company fails to make payments when due or breaches any operational covenant or has any event of default, this could have a material adverse effect on its business and financial condition. The Company was in compliance with all covenants at December 31, 2025.</w:t>
      </w:r>
    </w:p>
    <w:p>
      <w:pPr>
        <w:spacing w:after="0" w:line="17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conjunction with the Loan Agreement, in December 2020, the Company issued warrants to purchase 7,988 shares of common stock to the lender at a per share price of $6.87 with a maximum contractual term of 10 years and in July 2023, warrants to purchase 10,156 shares of common stock to the lender at a per share price of $7.50 with a maximum contractual term of 10 years. The warrants had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total relative fair value at the time of issuance. Pursuant to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FASB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warrants were classified as equity and were initially measured at fair value. Subsequent changes to fair value will not be recognized so long as the instrument continues to be equity classified.</w:t>
      </w:r>
    </w:p>
    <w:p>
      <w:pPr>
        <w:spacing w:after="0" w:line="187" w:lineRule="exact"/>
        <w:rPr>
          <w:sz w:val="20"/>
          <w:szCs w:val="20"/>
          <w:color w:val="auto"/>
        </w:rPr>
      </w:pPr>
    </w:p>
    <w:p>
      <w:pPr>
        <w:jc w:val="both"/>
        <w:ind w:right="500" w:firstLine="509"/>
        <w:spacing w:after="0" w:line="266" w:lineRule="auto"/>
        <w:rPr>
          <w:sz w:val="20"/>
          <w:szCs w:val="20"/>
          <w:color w:val="auto"/>
        </w:rPr>
      </w:pPr>
      <w:r>
        <w:rPr>
          <w:rFonts w:ascii="Times New Roman" w:cs="Times New Roman" w:eastAsia="Times New Roman" w:hAnsi="Times New Roman"/>
          <w:sz w:val="18"/>
          <w:szCs w:val="18"/>
          <w:color w:val="auto"/>
        </w:rPr>
        <w:t>Interest expense for the years ended December 31, 2025 and 2024 was $1.1 million in each period. The effective rate on the Loan Agreement, including the amortization of the debt discount and issuance costs was 9.45% and 9.55%, respectively, at each of December 31, 2025 and 2024. The components of the long-term debt balance are as follows (in thousands):</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 of term loans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18"/>
                <w:szCs w:val="18"/>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9,708</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12,653</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(6,235)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(3,097)</w:t>
            </w:r>
          </w:p>
        </w:tc>
      </w:tr>
      <w:tr>
        <w:trPr>
          <w:trHeight w:val="249"/>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-25400</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May 2022, the Company entered into an agreement with the existing investors of the Company to issue, and for the existing investors to purchase, the Convertible Notes for up to an aggregate of $30.0 million. The Convertible Notes bore interest at 5.0% per annum. Interest expense was $0.3 million for the year ended December 31, 2024. The Convertible Notes converted into share of common stock in March 2024 per the Merger (see discussion below and in Note 1).</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Convertible Notes contained mandatory conversion features whereby the total outstanding amount of principal and accrued and unpaid interest of the Convertible Notes automatically converted into shares of common stock upon certain qualified financings. The total outstanding amount of principal and accrued and unpaid interest of the Convertible Notes convert into shares of common stock at 90% of the purchase price of the mandatory conversion events.</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elected to account for the Convertible Notes at fair value where changes in fair value of the notes are measured through the consolidated statements of operations until settlement. Subsequent to December 31, 2023 and per the Merger further discussed in Note 1, the Convertibles Notes converted into 1,433,410 shares of common stock. The Company recorded a gain on the change in fair value prior to the conversion of the Convertible Notes of $15.9 million in other income (expense), net during the year ended December 31,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Convertible Preferred Stock</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March 25, 2024, immediately prior to completing the Merger, all classes of convertible preferred stock of Legacy Q32 were converted to Legacy Q32 common stock, and then exchanged in the Merger for shares of the Company’s common stock using the Exchange Ratio. The Series A convertible preferred stock converted into an aggregate of 2,286,873 shares of Legacy Q32 common stock, the Series A-1 convertible preferred stock converted into an aggregate of 312,094 shares of Legacy Q32 common stock and the Series B convertible preferred stock converted into an aggregate of 2,625,896 shares of Legacy Q32 common stock. The conversion of the Legacy Q32 preferred stock into shares of Legacy Q32 common stock resulted in an increase of less than $0.1 million to common stock and an increase of $111.4 million to additional paid-in-capital immediately prior to completing the Merger.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Common Stock</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Company’s Certificate of Incorporation, as amended, authorized the Company to issue 400,000,000 shares of common stock, $0.0001 par value per share.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9" w:name="page130"/>
    <w:bookmarkEnd w:id="129"/>
    <w:p>
      <w:pPr>
        <w:ind w:left="520"/>
        <w:spacing w:after="0"/>
        <w:rPr>
          <w:sz w:val="20"/>
          <w:szCs w:val="20"/>
          <w:color w:val="auto"/>
        </w:rPr>
      </w:pPr>
      <w:r>
        <w:rPr>
          <w:rFonts w:ascii="Times New Roman" w:cs="Times New Roman" w:eastAsia="Times New Roman" w:hAnsi="Times New Roman"/>
          <w:sz w:val="18"/>
          <w:szCs w:val="18"/>
          <w:color w:val="auto"/>
        </w:rPr>
        <w:t>The Company has reserved the following shares of common stock for future issuance:</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6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60" w:type="dxa"/>
            <w:vAlign w:val="bottom"/>
          </w:tcPr>
          <w:p>
            <w:pPr>
              <w:spacing w:after="0"/>
              <w:rPr>
                <w:sz w:val="12"/>
                <w:szCs w:val="12"/>
                <w:color w:val="auto"/>
              </w:rPr>
            </w:pPr>
          </w:p>
        </w:tc>
        <w:tc>
          <w:tcPr>
            <w:tcW w:w="112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91"/>
        </w:trPr>
        <w:tc>
          <w:tcPr>
            <w:tcW w:w="53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Shares reserved for future issuance under the 2024 Stock</w:t>
            </w:r>
          </w:p>
        </w:tc>
        <w:tc>
          <w:tcPr>
            <w:tcW w:w="1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4"/>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Incentive Plan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1,997,963</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1,760,657</w:t>
            </w:r>
          </w:p>
        </w:tc>
        <w:tc>
          <w:tcPr>
            <w:tcW w:w="80" w:type="dxa"/>
            <w:vAlign w:val="bottom"/>
            <w:shd w:val="clear" w:color="auto" w:fill="CFF0FC"/>
          </w:tcPr>
          <w:p>
            <w:pPr>
              <w:spacing w:after="0"/>
              <w:rPr>
                <w:sz w:val="20"/>
                <w:szCs w:val="20"/>
                <w:color w:val="auto"/>
              </w:rPr>
            </w:pPr>
          </w:p>
        </w:tc>
      </w:tr>
      <w:tr>
        <w:trPr>
          <w:trHeight w:val="198"/>
        </w:trPr>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reserved for future issuance under the 2024</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242,813</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120,836</w:t>
            </w:r>
          </w:p>
        </w:tc>
        <w:tc>
          <w:tcPr>
            <w:tcW w:w="80" w:type="dxa"/>
            <w:vAlign w:val="bottom"/>
          </w:tcPr>
          <w:p>
            <w:pPr>
              <w:spacing w:after="0"/>
              <w:rPr>
                <w:sz w:val="20"/>
                <w:szCs w:val="20"/>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stock option exercises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2,186,531</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1,942,920</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vesting of 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317,213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warrants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3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4,762,664</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3,842,557</w:t>
            </w:r>
          </w:p>
        </w:tc>
        <w:tc>
          <w:tcPr>
            <w:tcW w:w="8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514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09" w:lineRule="exact"/>
        <w:rPr>
          <w:sz w:val="20"/>
          <w:szCs w:val="20"/>
          <w:color w:val="auto"/>
        </w:rPr>
      </w:pPr>
    </w:p>
    <w:p>
      <w:pPr>
        <w:jc w:val="center"/>
        <w:ind w:right="8520" w:firstLine="8"/>
        <w:spacing w:after="0" w:line="377" w:lineRule="auto"/>
        <w:tabs>
          <w:tab w:leader="none" w:pos="27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2017 Stock Option and Grant Plan</w:t>
      </w:r>
    </w:p>
    <w:p>
      <w:pPr>
        <w:spacing w:after="0" w:line="2"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Legacy Q32 adopted the 2017 Stock Option and Grant Plan and subsequent amendments (the “2017 Plan”) with 1,246,290 shares of common stock reserved for issuance to employees, directors, and consultants. The 2017 Plan allowed for the grant of incentive stock options, non-statutory stock options, restricted stock awards, restricted stock unit awards and other stock awards. As of December 31, 2025, there were no additional shares available for future grant under the 2017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Stock Option and Incentive Plan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March 15, 2024, Homology’s board of directors adopted and subsequently, Homology’s stockholders approved the Q32 Inc. 2024 Stock Option and Incentive Plan (the “2024 Plan”), which became effective upon the closing of the Merger. The 2024 Plan replaced the 2017 Plan, as well as the Homology 2015 Stock Incentive Plan (the “Homology 2015 Plan”), and the Homology 2018 Plan (together with the Homology 2015 Plan, the “Homology Incentive Plans”). Upon effectiveness of the 2024 Plan, the Company ceased granting new awards under the 2017 Plan and the Homology Incentive Plans.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2024 Plan provides for the grant of incentive stock options, nonqualified stock options, restricted stock awards, restricted stock units, stock appreciation rights and other stock or cash-based awards to officers, employees, directors and consultants of the Company. The number of shares of common stock initially available for issuance under the 2024 Plan was 2,839,888 shares of common stock. The 2024 Plan provides that the number of shares reserved and available for issuance under the 2024 Plan will automatically increase each January 1, beginning on January 1, 2025, by 5% of the outstanding number of shares on the immediately preceding December 31, or such lesser amount as determined by the plan administrator. As of December 31, 2025, there were 1,997,964 shares available for future grant under the 2024 Plan.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Employee Stock Purchase Plan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March 15, 2024, Homology’s board of directors adopted and subsequently, Homology’s stockholders approved the Q32 Inc. 2024 Employee Stock Purchase Plan (the “2024 ESPP”). The 2024 ESPP allows employees to buy Company stock through after-tax payroll deductions at a discount from market value. The 2024 ESPP is intended to qualify as an “employee stock purchase plan” under Section 423 of the Internal Revenue Code. The number of shares of common stock initially available for issuance under the 2024 ESPP was 120,836 shares of common stock. The 2024 ESPP provides that the number of shares reserved and available for issuance under the plan will automatically increase each January 1, beginning on January 1, 2025, by the lesser of 241,677 shares, a number of shares equal 1% of the outstanding number of shares on the immediately preceding December 31, or such lesser amount as determined by the plan administrator. As of December 31, 2025, there were 242,813 shares available for future grant under the 2024 ESPP.</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Under the 2024 ESPP, employees may purchase common stock through after-tax payroll deductions at a price equal to 85% of the lower of the fair market value on the first trading day of an offering period or the last trading day of an offering period. The 2024 ESPP generally provides for offering periods of six months in duration that end on the final trading day of each February and August. In accordance with the Internal Revenue Code, no employee will be permitted to accrue the right to purchase stock under the 2024 ESPP at a rate in excess of $25,000 worth of shares during any calendar year during which such a purchase right is outstanding (based on the fair market value per share of the Company’s common stock as of the first day of the offering period).</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shares issued under the 2024 ESPP during the years ended December 31, 2025 and 2024.</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Stock options granted by the Company typically vest over a four-year period and have a ten-year contractual term. The following table summarizes the Company’s stock option activity during the year ended December 31, 2025:</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0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1,942,920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505,911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Cancelled</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(262,300)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2,186,531</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3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520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Vested and expected to vest at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2,186,531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2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December 31, 2025</w:t>
            </w:r>
          </w:p>
        </w:tc>
        <w:tc>
          <w:tcPr>
            <w:tcW w:w="10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2.82</w:t>
            </w:r>
          </w:p>
        </w:tc>
        <w:tc>
          <w:tcPr>
            <w:tcW w:w="12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7.81</w:t>
            </w:r>
          </w:p>
        </w:tc>
        <w:tc>
          <w:tcPr>
            <w:tcW w:w="360" w:type="dxa"/>
            <w:vAlign w:val="bottom"/>
            <w:gridSpan w:val="2"/>
          </w:tcPr>
          <w:p>
            <w:pPr>
              <w:jc w:val="right"/>
              <w:ind w:right="60"/>
              <w:spacing w:after="0" w:line="194"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1,132,223</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3.00</w:t>
            </w:r>
          </w:p>
        </w:tc>
        <w:tc>
          <w:tcPr>
            <w:tcW w:w="126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6.90</w:t>
            </w:r>
          </w:p>
        </w:tc>
        <w:tc>
          <w:tcPr>
            <w:tcW w:w="360" w:type="dxa"/>
            <w:vAlign w:val="bottom"/>
            <w:tcBorders>
              <w:bottom w:val="single" w:sz="8" w:color="CFF0FC"/>
            </w:tcBorders>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-462280</wp:posOffset>
            </wp:positionV>
            <wp:extent cx="603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-445135</wp:posOffset>
            </wp:positionV>
            <wp:extent cx="603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03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0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per share weighted-average grant date fair value of options granted in the year ended December 31, 2025 was $2.14 prior to the Option Repricing (as defined below) in February 2025 and $2.06 after. The total fair value of options vested during the year ended December 31, 2025 was $1.5 million. As of December 31, 2025, total unrecognized compensation costs to the unvested stock options were approximately $8.0 million, which is expected to be recognized over a weighted-average period of 1.3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Modifications</w:t>
      </w:r>
    </w:p>
    <w:p>
      <w:pPr>
        <w:spacing w:after="0" w:line="121"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On February 23, 2025, the Company's board of directors approved a stock option repricing (the “Option Repricing”), which was effective on February 24, 2025 (the “Repricing Date”). The Option Repricing applied to outstanding options to purchase shares of common stock of the Company granted under the Company’s 2017 Plan and 2024 Plan (collectively, “the Plans”), which, as of the Repricing Date, were held by current employees and non-employee directors of the Company and had an exercise price in excess of the current trading price of the common stock (so-called “underwater options”) with grant dates prior to February 23, 2025 (the “Eligible Options”). As of the Repricing Date, the Eligible Options were repriced such that the exercise price per share for such Eligible Options was reduced to the closing price of the common stock on the Nasdaq Global Market on the Repricing Date (the “Repriced Exercise Price”). The total number of shares of common stock underlying all Eligible Options was 1,871,416.</w:t>
      </w:r>
    </w:p>
    <w:p>
      <w:pPr>
        <w:spacing w:after="0" w:line="18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Eligible Options will revert to the original exercise price (the “Original Price”) if (i) such Eligible Options are exercised prior to the one-year anniversary of the Repricing Date (the “Retention Date”), (ii) an Eligible Option holder's employment is terminated by the Company for Cause (as defined in the 2024 Plan) prior to the Retention Date, or (iii) an Eligible Option holder resigns for any reason prior to the Retention Date. If an Eligible Option holder is terminated by the Company other than for Cause prior to the Retention Date (a “Terminated Employee”), any Eligible Options vested as of the date of such termination shall be exercisable at the Repriced Exercise Price (the “Terminated Employee Vested Options”), even prior to the Retention Date; provided that any unvested Eligible Options as of the date of such termination shall revert to the Original Price as of the date of termination. The deadline to exercise any Terminated Employee Vested Options, and any other Eligible Options held by a Terminated Employee that may become vested, shall be extended (but not truncated) to the later of (a) the one-year anniversary of the Terminated Employee’s termination date and (b) to align with the Eligible Option holder’s severance period (whether now or later implemented); provided that no extension shall exceed the Terminated Employee Vested Option’s expiration date, if earlier. In the event of a change-in-control prior to the Retention Date, each Eligible Option shall retain the Repriced Exercise Price to the extent it has not otherwise reverted to the Original Price. For the avoidance of doubt, the Eligible Options as modified by the Option Repricing are subject to the severance or change-in-control provisions in the current or future employment agreements, programs, policies or plans the Company has entered into or implemented or will enter into or implement with its directors, executive officers and other employees. There were no changes to the number of shares, the vesting schedule, or the expiration date of the Repriced Options except as outlined above.</w:t>
      </w:r>
    </w:p>
    <w:p>
      <w:pPr>
        <w:spacing w:after="0" w:line="195"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The repricing of the Eligible Options was accounted for as a modification under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Accordingly, the Company calculated incremental compensation cost on the modification date in an amount equal to the difference between the fair value of the awards before and after modification, determined using a lattice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31" w:name="page132"/>
    <w:bookmarkEnd w:id="131"/>
    <w:p>
      <w:pPr>
        <w:spacing w:after="0" w:line="282" w:lineRule="auto"/>
        <w:rPr>
          <w:sz w:val="20"/>
          <w:szCs w:val="20"/>
          <w:color w:val="auto"/>
        </w:rPr>
      </w:pPr>
      <w:r>
        <w:rPr>
          <w:rFonts w:ascii="Times New Roman" w:cs="Times New Roman" w:eastAsia="Times New Roman" w:hAnsi="Times New Roman"/>
          <w:sz w:val="18"/>
          <w:szCs w:val="18"/>
          <w:color w:val="auto"/>
        </w:rPr>
        <w:t>model based on the Hull-White framework, and recognized $0.3 million in its statement of operations for the year ended December 31, 2025. An additional $0.1 million is being recognized over the remaining vesting terms of the modified awards.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fair values of restricted stock units (“RSUs”) are based on the fair market value of the Company’s common stock on the date of grant. Each RSU represents a contingent right to receive one share of the Company’s common stock upon vesting. In general, RSUs vest annually in two or three equal installments. The following table summarizes the Company’s RSU activity during the year ended December 31, 2025:</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16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14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467,150</w:t>
            </w:r>
          </w:p>
        </w:tc>
        <w:tc>
          <w:tcPr>
            <w:tcW w:w="16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(106,737)</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(43,200)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317,213</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5" w:lineRule="exact"/>
        <w:rPr>
          <w:sz w:val="20"/>
          <w:szCs w:val="20"/>
          <w:color w:val="auto"/>
        </w:rPr>
      </w:pPr>
    </w:p>
    <w:p>
      <w:pPr>
        <w:jc w:val="both"/>
        <w:ind w:right="200" w:firstLine="509"/>
        <w:spacing w:after="0" w:line="312" w:lineRule="auto"/>
        <w:rPr>
          <w:sz w:val="20"/>
          <w:szCs w:val="20"/>
          <w:color w:val="auto"/>
        </w:rPr>
      </w:pPr>
      <w:r>
        <w:rPr>
          <w:rFonts w:ascii="Times New Roman" w:cs="Times New Roman" w:eastAsia="Times New Roman" w:hAnsi="Times New Roman"/>
          <w:sz w:val="17"/>
          <w:szCs w:val="17"/>
          <w:color w:val="auto"/>
        </w:rPr>
        <w:t>As of December 31, 2025, total unrecognized compensation costs to the unvested RSUs were approximately $0.6 million, which is expected to be recognized over a weighted-average period of 2.2 years. The total fair value of RSUs vested during the year ended December 31, 2025 was $0.3 million.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underlying assumptions used to value stock options granted using the Black-Scholes option-pricing model prior to the Option Repricing during the years ended December 31, 2025 and 2024 were as follows:</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5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536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2"/>
                <w:szCs w:val="12"/>
                <w:color w:val="auto"/>
              </w:rPr>
            </w:pPr>
          </w:p>
        </w:tc>
      </w:tr>
      <w:tr>
        <w:trPr>
          <w:trHeight w:val="191"/>
        </w:trPr>
        <w:tc>
          <w:tcPr>
            <w:tcW w:w="5360" w:type="dxa"/>
            <w:vAlign w:val="bottom"/>
            <w:shd w:val="clear" w:color="auto" w:fill="CFF0FC"/>
          </w:tcPr>
          <w:p>
            <w:pPr>
              <w:spacing w:after="0"/>
              <w:rPr>
                <w:sz w:val="16"/>
                <w:szCs w:val="16"/>
                <w:color w:val="auto"/>
              </w:rPr>
            </w:pPr>
          </w:p>
        </w:tc>
        <w:tc>
          <w:tcPr>
            <w:tcW w:w="1120" w:type="dxa"/>
            <w:vAlign w:val="bottom"/>
            <w:shd w:val="clear" w:color="auto" w:fill="CFF0FC"/>
          </w:tcPr>
          <w:p>
            <w:pPr>
              <w:ind w:left="180"/>
              <w:spacing w:after="0" w:line="191" w:lineRule="exact"/>
              <w:rPr>
                <w:sz w:val="20"/>
                <w:szCs w:val="20"/>
                <w:color w:val="auto"/>
              </w:rPr>
            </w:pPr>
            <w:r>
              <w:rPr>
                <w:rFonts w:ascii="Times New Roman" w:cs="Times New Roman" w:eastAsia="Times New Roman" w:hAnsi="Times New Roman"/>
                <w:sz w:val="18"/>
                <w:szCs w:val="18"/>
                <w:color w:val="auto"/>
              </w:rPr>
              <w:t>3.66% —</w:t>
            </w:r>
          </w:p>
        </w:tc>
        <w:tc>
          <w:tcPr>
            <w:tcW w:w="1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ind w:left="200"/>
              <w:spacing w:after="0" w:line="191" w:lineRule="exact"/>
              <w:rPr>
                <w:sz w:val="20"/>
                <w:szCs w:val="20"/>
                <w:color w:val="auto"/>
              </w:rPr>
            </w:pPr>
            <w:r>
              <w:rPr>
                <w:rFonts w:ascii="Times New Roman" w:cs="Times New Roman" w:eastAsia="Times New Roman" w:hAnsi="Times New Roman"/>
                <w:sz w:val="18"/>
                <w:szCs w:val="18"/>
                <w:color w:val="auto"/>
              </w:rPr>
              <w:t>3.48% —</w:t>
            </w:r>
          </w:p>
        </w:tc>
      </w:tr>
      <w:tr>
        <w:trPr>
          <w:trHeight w:val="234"/>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range</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4.46%</w:t>
            </w:r>
          </w:p>
        </w:tc>
        <w:tc>
          <w:tcPr>
            <w:tcW w:w="13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shd w:val="clear" w:color="auto" w:fill="CFF0FC"/>
          </w:tcPr>
          <w:p>
            <w:pPr>
              <w:spacing w:after="0"/>
              <w:rPr>
                <w:sz w:val="20"/>
                <w:szCs w:val="20"/>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1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 range</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5.23 — 6.11</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5.17 — 6.11</w:t>
            </w:r>
          </w:p>
        </w:tc>
      </w:tr>
      <w:tr>
        <w:trPr>
          <w:trHeight w:val="198"/>
        </w:trPr>
        <w:tc>
          <w:tcPr>
            <w:tcW w:w="5360" w:type="dxa"/>
            <w:vAlign w:val="bottom"/>
          </w:tcPr>
          <w:p>
            <w:pPr>
              <w:spacing w:after="0"/>
              <w:rPr>
                <w:sz w:val="17"/>
                <w:szCs w:val="17"/>
                <w:color w:val="auto"/>
              </w:rPr>
            </w:pPr>
          </w:p>
        </w:tc>
        <w:tc>
          <w:tcPr>
            <w:tcW w:w="11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93.7% —</w:t>
            </w:r>
          </w:p>
        </w:tc>
        <w:tc>
          <w:tcPr>
            <w:tcW w:w="180" w:type="dxa"/>
            <w:vAlign w:val="bottom"/>
          </w:tcPr>
          <w:p>
            <w:pPr>
              <w:spacing w:after="0"/>
              <w:rPr>
                <w:sz w:val="17"/>
                <w:szCs w:val="17"/>
                <w:color w:val="auto"/>
              </w:rPr>
            </w:pPr>
          </w:p>
        </w:tc>
        <w:tc>
          <w:tcPr>
            <w:tcW w:w="120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92.0% —</w:t>
            </w: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 range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95.8%</w:t>
            </w:r>
          </w:p>
        </w:tc>
        <w:tc>
          <w:tcPr>
            <w:tcW w:w="1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tcPr>
          <w:p>
            <w:pPr>
              <w:spacing w:after="0"/>
              <w:rPr>
                <w:sz w:val="20"/>
                <w:szCs w:val="20"/>
                <w:color w:val="auto"/>
              </w:rPr>
            </w:pPr>
          </w:p>
        </w:tc>
      </w:tr>
    </w:tbl>
    <w:p>
      <w:pPr>
        <w:spacing w:after="0" w:line="223" w:lineRule="exact"/>
        <w:rPr>
          <w:sz w:val="20"/>
          <w:szCs w:val="20"/>
          <w:color w:val="auto"/>
        </w:rPr>
      </w:pPr>
    </w:p>
    <w:p>
      <w:pPr>
        <w:ind w:right="4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 </w:t>
      </w:r>
      <w:r>
        <w:rPr>
          <w:rFonts w:ascii="Times New Roman" w:cs="Times New Roman" w:eastAsia="Times New Roman" w:hAnsi="Times New Roman"/>
          <w:sz w:val="18"/>
          <w:szCs w:val="18"/>
          <w:color w:val="auto"/>
        </w:rPr>
        <w:t>The risk-free rate assumption is based on the U.S. Treasury instruments, the terms of which were consistent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of the Company’s stock options.</w:t>
      </w:r>
    </w:p>
    <w:p>
      <w:pPr>
        <w:spacing w:after="0" w:line="158"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 </w:t>
      </w:r>
      <w:r>
        <w:rPr>
          <w:rFonts w:ascii="Times New Roman" w:cs="Times New Roman" w:eastAsia="Times New Roman" w:hAnsi="Times New Roman"/>
          <w:sz w:val="18"/>
          <w:szCs w:val="18"/>
          <w:color w:val="auto"/>
        </w:rPr>
        <w:t>The expected dividend assumption is based on the Company’s history and expectation of dividend payouts. The Company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paid and does not intend to pay dividends.</w:t>
      </w:r>
    </w:p>
    <w:p>
      <w:pPr>
        <w:spacing w:after="0" w:line="15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Term – </w:t>
      </w:r>
      <w:r>
        <w:rPr>
          <w:rFonts w:ascii="Times New Roman" w:cs="Times New Roman" w:eastAsia="Times New Roman" w:hAnsi="Times New Roman"/>
          <w:sz w:val="18"/>
          <w:szCs w:val="18"/>
          <w:color w:val="auto"/>
        </w:rPr>
        <w:t>The expected term of stock options represents the weighted average period the stock options are expected to be outstanding.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uses the simplified method for estimating the expected term, which calculates the expected term as the average time-to-vesting and the contractual life of the options for stock options issued to employees. The expected term for options granted to non-employees is based on the contractual life of the options.</w:t>
      </w:r>
    </w:p>
    <w:p>
      <w:pPr>
        <w:spacing w:after="0" w:line="180"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Volatility – </w:t>
      </w:r>
      <w:r>
        <w:rPr>
          <w:rFonts w:ascii="Times New Roman" w:cs="Times New Roman" w:eastAsia="Times New Roman" w:hAnsi="Times New Roman"/>
          <w:sz w:val="18"/>
          <w:szCs w:val="18"/>
          <w:color w:val="auto"/>
        </w:rPr>
        <w:t>Due to the Company’s limited operating history and lack of sufficient company-specific historical or implied volatility,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volatility assumption was determined by examining the historical volatilities of a group of industry peers whose share prices are publicly available. The Company expects to continue to do so until such time as it has adequate historical data regarding the volatility of its own traded stock price.</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32" w:name="page133"/>
    <w:bookmarkEnd w:id="132"/>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 Prior to the Merger, as there had been no public market for the Company’s common stock, the estimated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common stock was determined by the Company using estimates and assumptions on the respective grant dates of the awards. These estimates and assumptions include a number of objective and subjective factors, including external market conditions, the prices at which the Company sold shares of preferred securities and the superior likelihood of achieving a liquidity event, such as an IPO or sale. Significant changes to the key assumptions used in the valuations could result in different fair values of common stock at each valuation date.</w:t>
      </w:r>
    </w:p>
    <w:p>
      <w:pPr>
        <w:spacing w:after="0" w:line="185"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As discussed above, incremental stock-based compensation expense for the Option Repricing on February 24, 2025 was calculated using a lattice model based on the Hull-White framework. This approach incorporated key assumptions, including suboptimal exercise multiples for both staff and executives, derived from empirical data. The model also accounted for additional factors such as vesting periods, employee turnover based on the accounting of forfeitures, volatility, contractual expiry, and risk-free rates.</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of its statements of operations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48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53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4,322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80" w:type="dxa"/>
            <w:vAlign w:val="bottom"/>
          </w:tcPr>
          <w:p>
            <w:pPr>
              <w:spacing w:after="0"/>
              <w:rPr>
                <w:sz w:val="18"/>
                <w:szCs w:val="18"/>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0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5,255</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80" w:type="dxa"/>
            <w:vAlign w:val="bottom"/>
            <w:shd w:val="clear" w:color="auto" w:fill="CFF0FC"/>
          </w:tcPr>
          <w:p>
            <w:pPr>
              <w:spacing w:after="0"/>
              <w:rPr>
                <w:sz w:val="19"/>
                <w:szCs w:val="19"/>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431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431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Agreements with Horizon</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From August 2022 until November 2023, Legacy Q32 was a party to the Collaboration and Option Agreement (the “Horizon Collaboration Agreement”) and the Asset Purchase Agreement (the “Purchase Agreement,” and together with the Horizon Collaboration Agreement, the “Horizon Agreements”), each between Legacy Q32 and Horizon Therapeutics Ireland DAC (“Horizon”), pursuant to which Legacy Q32 received $55.0 million in initial consideration and staged development funding for the completion of the two ongoing Phase 2 trials for bempikibart, and Horizon had an option to acquire the bempikibart program at a prespecified price, subject to certain adjustments.</w:t>
      </w:r>
    </w:p>
    <w:p>
      <w:pPr>
        <w:spacing w:after="0" w:line="18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 has received $55.0 million of the $55.0 million transaction price from Horizon. In October 2023, Amgen Inc. (“Amgen”) completed its acquisition of Horizon Therapeutics public limited company (“Horizon plc”). Following the closing of Amgen’s acquisition of Horizon plc, the Company agreed with Amgen to mutually terminate the Horizon Agreements and in November 2023, the Company and Horizon entered into a termination agreement (the “Horizon Termination Agreement”), pursuant to which Horizon’s option to acquire the bempikibart program was terminated. As a result, the Company retained all initial consideration and development funding received under the Horizon Collaboration Agreement (as defined below) and regained full development and commercial rights to bempikibart. In consideration for the Horizon Termination Agreement, the Company agreed to pay Horizon regulatory and sales milestones payments of up to an aggregate amount of $75.1 million upon the first achievement of certain regulatory and sales milestones with respect to bempikibart.</w:t>
      </w:r>
    </w:p>
    <w:p>
      <w:pPr>
        <w:spacing w:after="0" w:line="19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concluded that the consideration allocated to the research service performance obligations should be recognized over time as Horizon received the benefit of the research activities as the activities were performed. The Company has determined that this method was most appropriate as progress towards completion of research is largely driven by time and effort spent and costs incurred to perform this research. The Horizon Termination Agreement is accounted for as a modification because it does not result in the addition of distinct goods or services. Since the two performance obligations and the material right are terminated with no further performance obligations aside from the contingent payments to Horizon of up to $75.1 million, the Company recognized the remaining deferred revenue in the fourth quarter of 2023.</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Upon the execution of the Horizon Termination Agreement, the Company became obligated to pay Horizon up to $75.1 million contingent on regulatory and sales-based milestones, consisting of a $5.0 million payment upon the first regulatory approval in the U.S. or in any of five specified major western European markets, and up to $70.1 million ranging from mid-single digit to low-double digit millions of dollars upon the achievement of specified annual sales thresholds, which range from exceeding $250 million to exceeding $1.5 billion. If bempikibart does not achieve the milestones set forth in the Horizon Termination Agreement, the Company will not be obligated to make any payments nor repay any amounts to Horizon.</w:t>
      </w:r>
    </w:p>
    <w:p>
      <w:pPr>
        <w:spacing w:after="0" w:line="18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These potential payments to Horizon are not in exchange for a distinct good or service; therefore, the Company accounts for consideration payable to Horizon as a reduction of the transaction price under FASB ASC 606, </w:t>
      </w:r>
      <w:r>
        <w:rPr>
          <w:rFonts w:ascii="Times New Roman" w:cs="Times New Roman" w:eastAsia="Times New Roman" w:hAnsi="Times New Roman"/>
          <w:sz w:val="18"/>
          <w:szCs w:val="18"/>
          <w:i w:val="1"/>
          <w:iCs w:val="1"/>
          <w:color w:val="auto"/>
        </w:rPr>
        <w:t>Revenue from Contracts with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33" w:name="page134"/>
    <w:bookmarkEnd w:id="133"/>
    <w:p>
      <w:pPr>
        <w:spacing w:after="0" w:line="258" w:lineRule="auto"/>
        <w:rPr>
          <w:sz w:val="20"/>
          <w:szCs w:val="20"/>
          <w:color w:val="auto"/>
        </w:rPr>
      </w:pP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The Company concluded that the $55.0 million of arrangement consideration previously recognized should be fully constrained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contingent consideration payable to Horizon, and accordingly, all amounts previously recognized as revenue were reversed in the fourth quarter of 2023 and a refund liability was established for the $55.0 million cash received during the term of the Horizon Collaboration Agreement. No amounts have been recognized related to the remaining potential payment to Horizon (up to $20.1 million) as it is not probable that the respective milestones will be achieved at this time.</w:t>
      </w:r>
    </w:p>
    <w:p>
      <w:pPr>
        <w:spacing w:after="0" w:line="18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 November 7, 2025, the Company and Amgen entered into an amendment to the Horizon Termination Agreement (the “Amgen Amendment”) pursuant to which the Company issued Horizon a one-time equity grant of 553,695 shares of the Company’s common stock as full consideration of the milestone payments under the Horizon Termination Agreement. Following the transactions contemplated by the Amgen Amendment, the Company has no remaining obligations to Amgen, including with respect to the $75.1 million in regulatory and sales-based milestone payments set forth in the Horizon Collaboration Agreement. Therefore, the Company derecognized the $55.0 million refund liability previously recorded for the $55.0 million of cash received under the Horizon Collaboration Agreement and recognized collaboration arrangement revenue for the difference between the equity issuance, and the refund liability as the consideration was no longer constrained.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2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Company has consulting and advisory agreements with certain investors and board members which are considered to be related party transactions. The Company did not incur expense for the years ended December 31, 2025 and 2024 related to services provided by these investors and board members.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amounts were due to related parties at December 31, 2025 or December 31,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Defined Contribution Plan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well as Roth post tax deferrals. As currently designed, the Company is not required to make and has not made any contributions to the 401(k)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Income Taxes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adopted ASU 2023-09 effective January 1, 2025, on a prospective basis. The disclosures required by the standard are included below for the year ended December 31, 2025. Comparative prior period disclosures have not been revised.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Company’s income (loss) before provision for income taxes are as follows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6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5"/>
                <w:szCs w:val="15"/>
                <w:color w:val="auto"/>
              </w:rPr>
            </w:pPr>
          </w:p>
        </w:tc>
      </w:tr>
      <w:tr>
        <w:trPr>
          <w:trHeight w:val="20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80" w:type="dxa"/>
            <w:vAlign w:val="bottom"/>
            <w:shd w:val="clear" w:color="auto" w:fill="CFF0FC"/>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6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(loss) before income taxes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had immaterial tax expense due to operating losses incurred since inception and no deferred tax provision in the current period.</w:t>
      </w:r>
    </w:p>
    <w:p>
      <w:pPr>
        <w:spacing w:after="0" w:line="117"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Total state income taxes paid (net of refunds) for the year ended December 31, 2025 were related to Massachusetts. During the years ended December 31, 2025 and 2024, the Company made cash payments for income taxes of less than $0.1 million in each period.</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34" w:name="page135"/>
    <w:bookmarkEnd w:id="134"/>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U.S. federal statutory income tax rate to the Company’s effective income tax rate for the year ended December 31, 2025:</w:t>
      </w:r>
    </w:p>
    <w:p>
      <w:pPr>
        <w:spacing w:after="0" w:line="1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3"/>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State and local income taxes, net of</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income tax effect</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(6,712)</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Excess tax benefits on share-based payments</w:t>
            </w: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-25400</wp:posOffset>
            </wp:positionV>
            <wp:extent cx="514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514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514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5143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As previously disclosed for the year ended December 31, 2024, prior to the adoption of ASU 2023-09, the effective income tax rate differed from the federal statutory income tax rate as follows:</w:t>
      </w:r>
    </w:p>
    <w:p>
      <w:pPr>
        <w:spacing w:after="0" w:line="1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5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48"/>
        </w:trPr>
        <w:tc>
          <w:tcPr>
            <w:tcW w:w="6280" w:type="dxa"/>
            <w:vAlign w:val="bottom"/>
          </w:tcPr>
          <w:p>
            <w:pPr>
              <w:spacing w:after="0"/>
              <w:rPr>
                <w:sz w:val="12"/>
                <w:szCs w:val="12"/>
                <w:color w:val="auto"/>
              </w:rPr>
            </w:pPr>
          </w:p>
        </w:tc>
        <w:tc>
          <w:tcPr>
            <w:tcW w:w="1300" w:type="dxa"/>
            <w:vAlign w:val="bottom"/>
          </w:tcPr>
          <w:p>
            <w:pPr>
              <w:jc w:val="right"/>
              <w:ind w:right="355"/>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3"/>
        </w:trPr>
        <w:tc>
          <w:tcPr>
            <w:tcW w:w="6280" w:type="dxa"/>
            <w:vAlign w:val="bottom"/>
          </w:tcPr>
          <w:p>
            <w:pPr>
              <w:spacing w:after="0"/>
              <w:rPr>
                <w:sz w:val="15"/>
                <w:szCs w:val="15"/>
                <w:color w:val="auto"/>
              </w:rPr>
            </w:pPr>
          </w:p>
        </w:tc>
        <w:tc>
          <w:tcPr>
            <w:tcW w:w="13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21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income tax expense at statutory rate</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Gain/loss on convertible note conversion</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CVR liability revaluation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tcPr>
          <w:p>
            <w:pPr>
              <w:spacing w:after="0"/>
              <w:rPr>
                <w:sz w:val="18"/>
                <w:szCs w:val="18"/>
                <w:color w:val="auto"/>
              </w:rPr>
            </w:pPr>
          </w:p>
        </w:tc>
      </w:tr>
      <w:tr>
        <w:trPr>
          <w:trHeight w:val="250"/>
        </w:trPr>
        <w:tc>
          <w:tcPr>
            <w:tcW w:w="6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514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514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rates for the years ended December 31, 2025 and 2024 were primarily due to state income tax resulting from interest income.</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01" w:right="539" w:bottom="1440" w:gutter="0" w:footer="0" w:header="0"/>
        </w:sectPr>
      </w:pPr>
    </w:p>
    <w:bookmarkStart w:id="135" w:name="page136"/>
    <w:bookmarkEnd w:id="135"/>
    <w:p>
      <w:pPr>
        <w:ind w:firstLine="509"/>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 of assets and liabilities for financial reporting purposes and the amounts used for income tax purposes. The significant components of the Company’s net deferred income taxes were as follows (in thousands):</w:t>
      </w:r>
    </w:p>
    <w:p>
      <w:pPr>
        <w:spacing w:after="0" w:line="22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58,663</w:t>
            </w:r>
          </w:p>
        </w:tc>
        <w:tc>
          <w:tcPr>
            <w:tcW w:w="140" w:type="dxa"/>
            <w:vAlign w:val="bottom"/>
          </w:tcPr>
          <w:p>
            <w:pPr>
              <w:spacing w:after="0"/>
              <w:rPr>
                <w:sz w:val="18"/>
                <w:szCs w:val="18"/>
                <w:color w:val="auto"/>
              </w:rPr>
            </w:pPr>
          </w:p>
        </w:tc>
        <w:tc>
          <w:tcPr>
            <w:tcW w:w="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Capitalized R&amp;D expenditures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27,599</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credit carryforwards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Capitalized intangible assets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 compensation and other</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Contingent liability</w:t>
            </w: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Accruals and reserves</w:t>
            </w: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101,269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(98,471)</w:t>
            </w: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(106,876)</w:t>
            </w:r>
          </w:p>
        </w:tc>
      </w:tr>
      <w:tr>
        <w:trPr>
          <w:trHeight w:val="209"/>
        </w:trPr>
        <w:tc>
          <w:tcPr>
            <w:tcW w:w="20" w:type="dxa"/>
            <w:vAlign w:val="bottom"/>
          </w:tcPr>
          <w:p>
            <w:pPr>
              <w:spacing w:after="0"/>
              <w:rPr>
                <w:sz w:val="18"/>
                <w:szCs w:val="18"/>
                <w:color w:val="auto"/>
              </w:rPr>
            </w:pPr>
          </w:p>
        </w:tc>
        <w:tc>
          <w:tcPr>
            <w:tcW w:w="534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4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80" w:type="dxa"/>
            <w:vAlign w:val="bottom"/>
            <w:tcBorders>
              <w:top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right-of-use asset</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(1,540)</w:t>
            </w: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Fixed assets</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Installment sale</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(2,798)</w:t>
            </w: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(1,758)</w:t>
            </w:r>
          </w:p>
        </w:tc>
      </w:tr>
      <w:tr>
        <w:trPr>
          <w:trHeight w:val="210"/>
        </w:trPr>
        <w:tc>
          <w:tcPr>
            <w:tcW w:w="20" w:type="dxa"/>
            <w:vAlign w:val="bottom"/>
          </w:tcPr>
          <w:p>
            <w:pPr>
              <w:spacing w:after="0"/>
              <w:rPr>
                <w:sz w:val="18"/>
                <w:szCs w:val="18"/>
                <w:color w:val="auto"/>
              </w:rPr>
            </w:pPr>
          </w:p>
        </w:tc>
        <w:tc>
          <w:tcPr>
            <w:tcW w:w="5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-1302385</wp:posOffset>
            </wp:positionV>
            <wp:extent cx="514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-1302385</wp:posOffset>
            </wp:positionV>
            <wp:extent cx="514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-1019175</wp:posOffset>
            </wp:positionV>
            <wp:extent cx="514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-1019175</wp:posOffset>
            </wp:positionV>
            <wp:extent cx="514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5143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Company's income tax provision for the year ended December 31, 2025 related to state and foreign income taxes. The Company has evaluated the positive and negative evidence bearing upon the reliability of its deferred tax assets. Based on this evaluation, the Company has provided a valuation allowance for the full amount of the net deferred tax assets as, based on all available evidence, it is considered more likely than not that all the recorded deferred tax assets will not be realized in a future period. During the year ended December 31, 2025, the valuation allowance decreased by $8.4 million primarily due to the recognition of deferred tax benefits associated with the expensing of previously capitalized research and development costs under IRC Section 174.</w:t>
      </w:r>
    </w:p>
    <w:p>
      <w:pPr>
        <w:spacing w:after="0" w:line="18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has $217.4 million and $205.9 million of federal and state net operating loss carryforwards, respectively. The federal NOLs are not subject to expiration and the state NOLs begin to expire in 2040. These loss carryforwards are available to reduce future federal taxable income, if any. As of December 31, 2025, the Company also had federal and state research and development tax credit carryforwards of $6.3 million and $2.4 million respectively, to offset future income taxes, which will begin to expire in December 2038. These loss carryforwards are subject to review and possible adjustment by the appropriate taxing authorities.</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Utilization of the Company’s NOL carryforwards and research and development credit carryforwards may be subject to a substantial annual limitation due to ownership change limitations that have occurred previously or that could occur in the future in accordance with Section 382 as well as similar state provisions. These ownership changes may limit the amount of NOL and research and development credit carryforwards that can be utilized annually to offset future taxable income and taxes, respectively. In general, an ownership change as defined by Section 382 results from transactions increasing the ownership of certain stockholders or public groups in the stock of a corporation by more than 50% over a three-year period. Since its formation, the Company has raised capital through the issuance of capital stock on several occasions. These financings could result in a change of control as defined by Section 382. The Company has not yet conducted an analysis under Section 382 to determine if historical changes in ownership through December 31, 2025, would limit or otherwise restrict its ability to utilize its NOL and research and development credit carryforwards. In addition, future changes in ownership occurring after December 31, 2025 could affect the limitation in future years, and any limitation may result in expiration of a portion of the NOL or research and development credit carryforwards before utilization.</w:t>
      </w:r>
    </w:p>
    <w:p>
      <w:pPr>
        <w:spacing w:after="0" w:line="194" w:lineRule="exact"/>
        <w:rPr>
          <w:sz w:val="20"/>
          <w:szCs w:val="20"/>
          <w:color w:val="auto"/>
        </w:rPr>
      </w:pPr>
    </w:p>
    <w:p>
      <w:pPr>
        <w:jc w:val="both"/>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Company generated research and development tax credits but has not conducted a study to document the qualified activities. This study may result in an adjustment to the Company’s research and development tax credit carryforwards; however, until a study is completed and any adjustment is known, no amounts are being presented as an uncertain tax position. A full valuation allowance has been provided against the Company’s research and development tax credit carryforwards and, if an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36" w:name="page137"/>
    <w:bookmarkEnd w:id="136"/>
    <w:p>
      <w:pPr>
        <w:ind w:right="520"/>
        <w:spacing w:after="0" w:line="282" w:lineRule="auto"/>
        <w:rPr>
          <w:sz w:val="20"/>
          <w:szCs w:val="20"/>
          <w:color w:val="auto"/>
        </w:rPr>
      </w:pPr>
      <w:r>
        <w:rPr>
          <w:rFonts w:ascii="Times New Roman" w:cs="Times New Roman" w:eastAsia="Times New Roman" w:hAnsi="Times New Roman"/>
          <w:sz w:val="18"/>
          <w:szCs w:val="18"/>
          <w:color w:val="auto"/>
        </w:rPr>
        <w:t>adjustment is required, this adjustment would result in an adjustment to the deferred tax asset established for the research and development tax credit carryforwards and the valuation allowance.</w:t>
      </w:r>
    </w:p>
    <w:p>
      <w:pPr>
        <w:spacing w:after="0" w:line="162"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Among other provisions, this act includes permanently extended and modified certain expiring provisions of the 2017 Tax Cuts and Jobs Act and restored the immediate expensing of domestic research and development expenses. The Company has evaluated the impacts of these provisions and has concluded the OBBBA does not have a material impact on its consolidated financial statements other than reclassifications of the deferred tax assets.</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follows the provisions of ASC 740 which specifies how tax benefits for uncertain tax positions are to be recognized, measured, and recorded in financial statements, requires certain disclosures of uncertain tax matters, specifies how reserves for uncertain tax positions should be classified on the consolidated balance sheets, and provides transition and interim period guidance, among other provisions. As of December 31, 2025 and 2024, the Company has not recorded any amounts for uncertain tax positions. The Company’s policy is to recognize interest and penalties accrued on any uncertain tax positions as a component of income tax expense, if any, in its consolidated statements of operations and comprehensive loss. As of December 31, 2025 and 2024, the Company had no reserves for uncertain tax positions. For the years ended December 31, 2025 and 2024, no estimated interest or penalties were recognized on uncertain tax positions.</w:t>
      </w:r>
    </w:p>
    <w:p>
      <w:pPr>
        <w:spacing w:after="0" w:line="18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files federal income tax returns in the United States and Australia and state income tax returns in Massachusetts and various other state jurisdictions. The Company’s U.S. tax returns for the years ended December 31, 2022 to December 31, 2025 remain open and subject to examination by the Internal Revenue Service and state taxing authorities. The statute of limitations for assessment by the Australian Taxation Office is four years from the date of return filing. The Company is not currently under examination by the Australian Taxation Office for any tax years.</w:t>
      </w:r>
    </w:p>
    <w:p>
      <w:pPr>
        <w:spacing w:after="0" w:line="18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Company’s current intention is to permanently reinvest the total amount of its unremitted earnings in the local international jurisdiction. As such, the Company has not provided for taxes on the unremitted earnings of its international subsidiary. As of December 31, 2025, the Company’s foreign subsidiary does not have any unremitted earnings.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Net Income (Loss) per Share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Basic net income (loss) per share is computed by dividing net income (loss) by the weighted-average number of shares of common stock outstanding during the applicable period. In computing diluted net income (loss) per share, only potential shares of common stock that are dilutive are included. The Company considered each issue or series of issues of potential shares of common stock separately when determining whether potential shares of common stock are dilutive or antidilutive. The Company made such determination in sequence from the most dilutive to the least dilutive and concluded that its Convertible Notes are dilutive to net income per share for the year ended December 31, 2024. Pursuant to FASB ASC Topic 260, </w:t>
      </w:r>
      <w:r>
        <w:rPr>
          <w:rFonts w:ascii="Times New Roman" w:cs="Times New Roman" w:eastAsia="Times New Roman" w:hAnsi="Times New Roman"/>
          <w:sz w:val="18"/>
          <w:szCs w:val="18"/>
          <w:i w:val="1"/>
          <w:iCs w:val="1"/>
          <w:color w:val="auto"/>
        </w:rPr>
        <w:t>Earnings 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w:t>
      </w:r>
      <w:r>
        <w:rPr>
          <w:rFonts w:ascii="Times New Roman" w:cs="Times New Roman" w:eastAsia="Times New Roman" w:hAnsi="Times New Roman"/>
          <w:sz w:val="18"/>
          <w:szCs w:val="18"/>
          <w:color w:val="auto"/>
        </w:rPr>
        <w:t>, the Company applied the if-converted method to determine the effect of its Convertible Notes on the diluted earnings per share calculations.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such method, the Company adjusted the numerator for the gains or losses recognized during the period in net income from the Convertible Notes and the denominator is increased to include the number of additional shares of common stock that would have been outstanding if the Convertible Notes were converted as of the beginning of the period.</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00" w:type="dxa"/>
            <w:vAlign w:val="bottom"/>
          </w:tcPr>
          <w:p>
            <w:pPr>
              <w:spacing w:after="0"/>
              <w:rPr>
                <w:sz w:val="15"/>
                <w:szCs w:val="15"/>
                <w:color w:val="auto"/>
              </w:rPr>
            </w:pPr>
          </w:p>
        </w:tc>
        <w:tc>
          <w:tcPr>
            <w:tcW w:w="230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5360" w:type="dxa"/>
            <w:vAlign w:val="bottom"/>
            <w:gridSpan w:val="2"/>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29,821</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(loss)-diluted</w:t>
            </w:r>
          </w:p>
        </w:tc>
        <w:tc>
          <w:tcPr>
            <w:tcW w:w="20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29,821</w:t>
            </w:r>
          </w:p>
        </w:tc>
        <w:tc>
          <w:tcPr>
            <w:tcW w:w="420" w:type="dxa"/>
            <w:vAlign w:val="bottom"/>
            <w:gridSpan w:val="2"/>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(63,533)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Denominator:</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12,300,568</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9,320,884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Dilutive securities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14,228</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12,314,796</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9,657,696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share-basic</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share-diluted</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2.42</w:t>
            </w:r>
          </w:p>
        </w:tc>
        <w:tc>
          <w:tcPr>
            <w:tcW w:w="18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-1045210</wp:posOffset>
            </wp:positionV>
            <wp:extent cx="431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-1028065</wp:posOffset>
            </wp:positionV>
            <wp:extent cx="431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-1045210</wp:posOffset>
            </wp:positionV>
            <wp:extent cx="514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-1028065</wp:posOffset>
            </wp:positionV>
            <wp:extent cx="514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-187960</wp:posOffset>
            </wp:positionV>
            <wp:extent cx="431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-170815</wp:posOffset>
            </wp:positionV>
            <wp:extent cx="431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-187960</wp:posOffset>
            </wp:positionV>
            <wp:extent cx="514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Company’s potentially dilutive securities, which include stock options, restricted stock units and warrants, have been excluded from the computation of diluted net loss per share as the effect would be to reduce the net loss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7" w:name="page138"/>
    <w:bookmarkEnd w:id="137"/>
    <w:p>
      <w:pPr>
        <w:spacing w:after="0" w:line="282" w:lineRule="auto"/>
        <w:rPr>
          <w:sz w:val="20"/>
          <w:szCs w:val="20"/>
          <w:color w:val="auto"/>
        </w:rPr>
      </w:pPr>
      <w:r>
        <w:rPr>
          <w:rFonts w:ascii="Times New Roman" w:cs="Times New Roman" w:eastAsia="Times New Roman" w:hAnsi="Times New Roman"/>
          <w:sz w:val="18"/>
          <w:szCs w:val="18"/>
          <w:color w:val="auto"/>
        </w:rPr>
        <w:t>per share. As of December 31, 2024, the Company’s potentially dilutive securities, which include stock options and warrants, have been excluded from the computation of diluted net loss per share as the effect would be to reduce the net loss per share.</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from the computation of diluted net loss per share attributable to common stockholders because including them would have had an anti-dilutive effect:</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5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536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2,186,531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1,942,920</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302,985</w:t>
            </w: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8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during the year ended December 31, 2022, Legacy Q32 issued the Convertible Notes with a principal balance of $30.0 million. As described in Note 11, the Convertible Notes contained conversion features whereby the Convertible Notes and any accrued interest may have converted into either a variable number of shares of common stock or into shares of Series B preferred stock based on a fixed exchange ratio. Any shares of Series B preferred stock issued to settle the Convertible Notes would then be convertible into shares of common stock. The Convertible Notes were excluded from the computation of diluted net loss per share attributable to common stockholders for the year ended December 31, 2024, because including them would have had an anti-dilutive effect. Per the Merger further discussed in Note 1, the Convertible Notes converted into 1,433,410 shares of common stock at the effective date of the Merger.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Segment Reporting</w:t>
      </w:r>
    </w:p>
    <w:p>
      <w:pPr>
        <w:spacing w:after="0" w:line="121" w:lineRule="exact"/>
        <w:rPr>
          <w:sz w:val="20"/>
          <w:szCs w:val="20"/>
          <w:color w:val="auto"/>
        </w:rPr>
      </w:pPr>
    </w:p>
    <w:p>
      <w:pPr>
        <w:ind w:right="80" w:firstLine="509"/>
        <w:spacing w:after="0" w:line="272" w:lineRule="auto"/>
        <w:rPr>
          <w:sz w:val="20"/>
          <w:szCs w:val="20"/>
          <w:color w:val="auto"/>
        </w:rPr>
      </w:pPr>
      <w:r>
        <w:rPr>
          <w:rFonts w:ascii="Times New Roman" w:cs="Times New Roman" w:eastAsia="Times New Roman" w:hAnsi="Times New Roman"/>
          <w:sz w:val="17"/>
          <w:szCs w:val="17"/>
          <w:color w:val="auto"/>
        </w:rPr>
        <w:t>The Company operates as one operating segment, focused on research, development, and discovering, developing and delivering therapies for its novel biologics. The Company’s CEO, as the chief operating decision maker (“CODM”), manages and allocates resources to the operations of the Company on a consolidated basis. Managing and allocating resources on a total-company basis enables the CODM to assess the overall level of resources available and how to best deploy those resources across research and development projects that are in line with our long-term company-wide strategic goals. Consistent with this decision-making process, the CODM uses consolidated, single-segment financial information for purposes of evaluating performance, forecasting future period financial results, allocating resources and setting incentive targets. When evaluating the Company’s overall performance, the CODM is focused on the timing and progress of its preclinical and clinical development activities. The CODM regularly reviews total expenses, as well as direct research and development expenses by program and makes decisions using this information on a company-wide basis.</w:t>
      </w:r>
    </w:p>
    <w:p>
      <w:pPr>
        <w:spacing w:after="0" w:line="1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accounting policies of the reportable segment are the same as those described in the summary of significant accounting policies. The CODM assesses performance and decides how to allocate resources based on consolidated net loss. This measure is used to monitor budget versus actual results to assess performance of the segment. The measure of segment assets is reported on the consolidated balance sheet as total consolidated assets.</w:t>
      </w:r>
    </w:p>
    <w:p>
      <w:pPr>
        <w:spacing w:after="0" w:line="17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reportable segment net (income) loss, including significant expenses regularly provided to the CODM, attributable to the Company’s reportable segment for the years ended December 31, 2025 and 2024:</w:t>
      </w:r>
    </w:p>
    <w:p>
      <w:pPr>
        <w:spacing w:after="0" w:line="26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5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5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w:t>
            </w:r>
          </w:p>
        </w:tc>
        <w:tc>
          <w:tcPr>
            <w:tcW w:w="62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84"/>
              </w:rPr>
              <w:t>thousands)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research and development expense by program:</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Bempikibart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40" w:type="dxa"/>
            <w:vAlign w:val="bottom"/>
          </w:tcPr>
          <w:p>
            <w:pPr>
              <w:spacing w:after="0"/>
              <w:rPr>
                <w:sz w:val="18"/>
                <w:szCs w:val="18"/>
                <w:color w:val="auto"/>
              </w:rPr>
            </w:pPr>
          </w:p>
        </w:tc>
        <w:tc>
          <w:tcPr>
            <w:tcW w:w="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28,726</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ADX-097</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Discovery and other</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costs (excluding stock-based compensation)</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G&amp;A expenses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9,586</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(1,055)</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(2,832)</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items (1)</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(59,838)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(9,978)</w:t>
            </w:r>
          </w:p>
        </w:tc>
      </w:tr>
      <w:tr>
        <w:trPr>
          <w:trHeight w:val="20"/>
        </w:trPr>
        <w:tc>
          <w:tcPr>
            <w:tcW w:w="5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(income) loss</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(29,821)</w:t>
            </w:r>
          </w:p>
        </w:tc>
        <w:tc>
          <w:tcPr>
            <w:tcW w:w="48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47,733</w:t>
            </w:r>
          </w:p>
        </w:tc>
        <w:tc>
          <w:tcPr>
            <w:tcW w:w="80" w:type="dxa"/>
            <w:vAlign w:val="bottom"/>
            <w:shd w:val="clear" w:color="auto" w:fill="CFF0FC"/>
          </w:tcPr>
          <w:p>
            <w:pPr>
              <w:spacing w:after="0"/>
              <w:rPr>
                <w:sz w:val="19"/>
                <w:szCs w:val="19"/>
                <w:color w:val="auto"/>
              </w:rPr>
            </w:pP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ind w:right="200" w:firstLine="457"/>
        <w:spacing w:after="0" w:line="282" w:lineRule="auto"/>
        <w:tabs>
          <w:tab w:leader="none" w:pos="70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are included in order to reconcile to total segment net (income) loss. Other segment items include non-cash items such as depreciation and amortization expense, stock-based compensation expense and the change in fair value of</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138" w:name="page139"/>
    <w:bookmarkEnd w:id="138"/>
    <w:p>
      <w:pPr>
        <w:ind w:right="100"/>
        <w:spacing w:after="0" w:line="266" w:lineRule="auto"/>
        <w:rPr>
          <w:sz w:val="20"/>
          <w:szCs w:val="20"/>
          <w:color w:val="auto"/>
        </w:rPr>
      </w:pPr>
      <w:r>
        <w:rPr>
          <w:rFonts w:ascii="Times New Roman" w:cs="Times New Roman" w:eastAsia="Times New Roman" w:hAnsi="Times New Roman"/>
          <w:sz w:val="18"/>
          <w:szCs w:val="18"/>
          <w:color w:val="auto"/>
        </w:rPr>
        <w:t>contingent value rights. In 2025, other segment items also include the recognition of collaboration arrangement revenue related to the Amendment with Amgen (see Note 16) and the gain recognized related to the ADX-097 Sale (see Note 4). In 2024, other segment items also include gains and losses on the change in fair value of convertible notes and a loss from equity method investment.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February 17, 2026, the Company entered into a definitive agreement for the issuance and sale of 1,666,679 shares of common stock and pre-funded warrants to purchase up to 1,025,654 shares of common stock at an offering price of $3.90 per share of common stock, which was the closing price per share of the Company’s common stock on Nasdaq on February 13, 2026, and $3.8999 per pre-funded warrant, which represents the price per share for the common stock less the $0.0001 per share exercise price for each pre-funded warrant. The pre-funded warrants will be immediately exercisable after the date of issuance and may be exercised at any time until the pre-funded warrants are exercised in full. The issuance of the shares was completed on February 19, 2026.</w:t>
      </w:r>
    </w:p>
    <w:p>
      <w:pPr>
        <w:spacing w:after="0" w:line="18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securities referenced above were offered pursuant to a shelf registration statement on Form S-3 (333-286491) that was filed with the SEC on April 11, 2025, and was declared effective by the SEC on April 21, 2025.</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39" w:name="page140"/>
    <w:bookmarkEnd w:id="139"/>
    <w:p>
      <w:pPr>
        <w:ind w:left="10360"/>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some of the terms of our restated certificate of incorporation, as amended, and amended and restated bylaws and of the Delaware General Corporation Law. This description is summarized from, and qualified in its entirety by reference to, our restated certificate of incorporation, as amended, and amended and restated bylaws, each of which has been publicly filed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authorized capital stock consists of:</w:t>
      </w:r>
    </w:p>
    <w:p>
      <w:pPr>
        <w:spacing w:after="0" w:line="131" w:lineRule="exact"/>
        <w:rPr>
          <w:sz w:val="20"/>
          <w:szCs w:val="20"/>
          <w:color w:val="auto"/>
        </w:rPr>
      </w:pPr>
    </w:p>
    <w:p>
      <w:pPr>
        <w:ind w:left="360" w:hanging="231"/>
        <w:spacing w:after="0"/>
        <w:tabs>
          <w:tab w:leader="none" w:pos="3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400,000,000 shares of common stock, par value $0.0001 per share; and</w:t>
      </w:r>
    </w:p>
    <w:p>
      <w:pPr>
        <w:spacing w:after="0" w:line="130" w:lineRule="exact"/>
        <w:rPr>
          <w:rFonts w:ascii="Times New Roman" w:cs="Times New Roman" w:eastAsia="Times New Roman" w:hAnsi="Times New Roman"/>
          <w:sz w:val="18"/>
          <w:szCs w:val="18"/>
          <w:color w:val="auto"/>
        </w:rPr>
      </w:pPr>
    </w:p>
    <w:p>
      <w:pPr>
        <w:ind w:left="380" w:hanging="251"/>
        <w:spacing w:after="0"/>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par value $0.0001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“QTTB.”</w:t>
      </w:r>
    </w:p>
    <w:p>
      <w:pPr>
        <w:spacing w:after="0" w:line="11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restated certificate of incorporation, as amended,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 as amended. See below under </w:t>
      </w:r>
      <w:r>
        <w:rPr>
          <w:rFonts w:ascii="Times New Roman" w:cs="Times New Roman" w:eastAsia="Times New Roman" w:hAnsi="Times New Roman"/>
          <w:sz w:val="18"/>
          <w:szCs w:val="18"/>
          <w:i w:val="1"/>
          <w:iCs w:val="1"/>
          <w:color w:val="auto"/>
        </w:rPr>
        <w:t>“—Anti-Takeover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Effects of Delaware Law and Our Certificate of Incorporation and Bylaws—Amendment of Charter Provisions</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Rights Upon Liquidation. </w:t>
      </w:r>
      <w:r>
        <w:rPr>
          <w:rFonts w:ascii="Times New Roman" w:cs="Times New Roman" w:eastAsia="Times New Roman" w:hAnsi="Times New Roman"/>
          <w:sz w:val="17"/>
          <w:szCs w:val="17"/>
          <w:color w:val="auto"/>
        </w:rPr>
        <w:t>In the event of our liquidation or dissolution, the holders of common stock are entitled to receive proportionately our net assets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available for distribution to stockholders after the payment of all debts and other liabilities and subject to the prior rights of any outstanding preferred stock.</w:t>
      </w:r>
    </w:p>
    <w:p>
      <w:pPr>
        <w:spacing w:after="0" w:line="2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Rights. </w:t>
      </w:r>
      <w:r>
        <w:rPr>
          <w:rFonts w:ascii="Times New Roman" w:cs="Times New Roman" w:eastAsia="Times New Roman" w:hAnsi="Times New Roman"/>
          <w:sz w:val="18"/>
          <w:szCs w:val="18"/>
          <w:color w:val="auto"/>
        </w:rPr>
        <w:t>Holders of common stock have no preemptive, subscription, redemption or conversion rights. Our outstanding shares of common stock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Holders of common stock are entitled to receive proportionately any dividends as may be declared by our board of directors, subject to any preferential dividend rights of outstanding preferred stock. We have never declared or paid any cash dividends on our common stock. We do not intend to declare or pay cash dividends for the foreseeable future. We currently expect to retain all future earnings, if any, for use in the development, operation and expansion of our business. Any determination to pay cash dividends in the future will depend upon, among other things, our results of operations, plans for expansion, tax considerations, available net profits and reserves, limitations under law, financial condition, capital requirements and other factors that our board of directors considers to be relevant.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Under the terms of our restated certificate of incorporation, as amended, our board of directors is authorized to issue shares of preferred stock in one or more series without stockholder approval. Our board of directors have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40" w:name="page141"/>
    <w:bookmarkEnd w:id="140"/>
    <w:p>
      <w:pPr>
        <w:spacing w:after="0" w:line="8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discretion to determine the rights, preferences, privileges and restrictions, including voting rights, dividend rights, conversion rights, redemption privileges and liquidation preferences, of each series of preferred stock.</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purpose of authorizing the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an Agreement and Plan of Merger, or the Merger Agreement, Q32 Bio Operations Inc. (previously named Q32 Bio Inc. and referred to herein as Legacy Q32) entered into a subscription agreement in November 2023, or the Subscription Agreement, with certain investors to consummate their purchase of shares of Legacy Q32’s common stock for an aggregate purchase price of $42.0 million, or the Pre-Closing Financing. On March 25, 2024, Kenobi Merger Sub, Inc., a wholly-owned subsidiary of Homology Medicines, Inc., or Homology, completed its merger, or the Merger, with and into Legacy Q32, with Legacy Q32 continuing as the surviving entity as a wholly-owned subsidiary of Homology. Pursuant to the Subscription Agreement, on March 25, 2024, we entered into a registration rights agreement, or the Registration Rights Agreement, with the investors in the Pre-Closing Financing. Under the Registration Rights Agreement, among other things, we agreed to register for resale certain shares of our common stock held by such investors from time to time, including shares of our common stock issued in the Merger in exchange for the shares of Legacy Q32 common stock issued in the Pre-Closing Financing.</w:t>
      </w:r>
    </w:p>
    <w:p>
      <w:pPr>
        <w:spacing w:after="0" w:line="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Registration Rights Agreement, we are obligated to prepare and file a shelf registration statement covering the resale of covered shares of our common stock within forty-five (45) calendar days following the closing of the Merger, subject to certain exceptions, pursuant to Rule 415 of the Securities Act of 1933, as amended, or the Securities Act. We also agreed to use our reasonable best efforts to keep such registration statement continuously effective under the Securities Act until the earlier of the date that all registrable securities covered by such registration statement (a) have been sold, thereunder or pursuant to Rule 144 of the Securities Act, or Rule 144, or (b) may be sold without volume or manner-of-sale restrictions pursuant to Rule 144 and without the requirement for us to be in compliance with the current public information requirement under Rule 144. The registration rights agreement also provides that we will pay certain expenses of the securityholders and indemnify the applicable securityholders against certain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of March 1, 2026, we had 1,025,654 shares of common stock issuable upon the exercise of pre-funded warrants and each of such pre-funded warrants has an initial exercise price per share equal to $0.0001. The pre-funded warrants are immediately exercisable upon issuance and may be exercised at any time until they are exercised in full. The exercise price and number of shares of common stock issuable upon exercise is subject to appropriate adjustment in the event of stock dividends and distributions, stock splits, stock combinations, reclassification, reorganizations or similar events affecting our common stock and the exercise price.</w:t>
      </w:r>
    </w:p>
    <w:p>
      <w:pPr>
        <w:spacing w:after="0" w:line="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 holder of the pre-funded warrants will not have the right to exercise any portion of the pre-funded warrants if the holder (together with its affiliates) would beneficially own in excess of 9.99% of the number of our shares of common stock outstanding immediately after giving effect to the exercise, as such percentage ownership is determined in accordance with the terms of the pre-funded warrants. However, any holder may increase or decrease such percentage, but in no event may such percentage be increased to more than 9.99%, provided that any increase will not be effective until the 61st day after such election.</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pre-funded warrants will be exercisable, at the option of the holder, in whole or in part by delivering to us a duly executed exercise notice and, at any time a registration statement registering the issuance of shares of common stock underlying the pre-funded warrants under the securities act is effective and available for the issuance of such shares, or an exemption from registration under the securities act is available for the issuance of such shares, by payment in full in immediately available funds for the number of shares of common stock purchased upon such exercise. The pre-funded warrants may also be exercised, in whole or in part, at such time by means of a cashless exercise, in which case the holder would receive upon such exercise the net number of shares of common stock determined according to the formula set forth in the pre-funded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8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pre-funded warrants or by virtue of such holder’s ownership of our common stock, the holder of a pre-funded warrant will not have the rights or privileges of a holder of our common stock, including any voting rights or rights to receive dividends, until the holder exercises the pre-funded warrant.</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is no established trading market for the pre-funded warrants and we do not expect a market to develop. In addition, we do not intend to apply for the listing of the pre-funded warrants on any national securities exchange or other trading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Some provisions of the Delaware law, our restated certificate of incorporation, as amended, and amended and restated bylaws could make the following transactions more difficult: an acquisition by means of a tender offer; an acquisition by means of a proxy contest or otherwise; or the removal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our company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Undesignated Preferred Stock</w:t>
      </w:r>
    </w:p>
    <w:p>
      <w:pPr>
        <w:spacing w:after="0" w:line="11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it. These and other provisions may have the effect of deferring hostile takeovers or delaying changes in control or management.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Meetings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provide that a special meeting of stockholders may be called only by our chairman of the board, chief executive officer or president (in the absence of a chief executive officer), or by a resolution adopted by a majority of our board of directors.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Elimination of Stockholder Action by Written Consent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restated certificate of incorporation, as amended, eliminates the right of stockholders to act by written consent without a meeting.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11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our company, because it generally makes it more difficult for stockholders to replace a majority of the directors.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1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as amended, and amended and restated bylaws provide that, subject to the rights of holders of any series of preferred stock, no member of our board of directors may be removed from office by our stockholders except for cause and, in addition to any other vote required by law, upon the approval of the holders of at least two-thirds in voting power of the outstanding shares of capital stock entitled to vote in the election of directors. Subject to the rights of holders of any series of preferred stock, any vacancy on our board of directors, including a vacancy resulting from an enlargement of our board of directors, may be filled only by vote of a majority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of directors then in office, unless our board of directors determines by resolution that any such vacancy or newly created directorship shall be filled by our stockholders.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Not Entitled to Cumulative Voting</w:t>
      </w:r>
    </w:p>
    <w:p>
      <w:pPr>
        <w:spacing w:after="0" w:line="11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as amended,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Anti-Takeover Statute</w:t>
      </w:r>
    </w:p>
    <w:p>
      <w:pPr>
        <w:spacing w:after="0" w:line="11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are subject to Section 203 of the General Corporation Law of the State of Delaware,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restated certificate of incorporation, as amended, provides that, unless we consent in writing to an alternative forum,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it arising pursuant to any provision of the General Corporation Law of the State of Delaware or our restated certificate of incorporation, as amended, or amended and restated bylaws; or (4) any action asserting a claim governed by the internal affairs doctrine. Our restated certificate of incorporation, as amended,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as amended, is inapplicable or unenforceable if it is challenged in a proceeding or otherwise.</w:t>
      </w:r>
    </w:p>
    <w:p>
      <w:pPr>
        <w:spacing w:after="0" w:line="8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our amended and restated bylaws provide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and any person or entity purchasing or otherwise acquiring or holding any interest in our shares of capital stock shall be deemed to have notice of and consented to this choice of forum provision.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Charter Provisions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amendment of any of the above provisions, except for the provision making it possible for our board of directors to issue preferred stock and the provision prohibiting cumulative voting, would require approval by holders of at least two-thirds in voting power of the outstanding shares of capital stock entitled to vote thereon.</w:t>
      </w:r>
    </w:p>
    <w:p>
      <w:pPr>
        <w:spacing w:after="0" w:line="6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provisions of Delaware law, our restated certificate of incorporation, as amended, and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2"/>
          <w:szCs w:val="22"/>
          <w:b w:val="1"/>
          <w:bCs w:val="1"/>
          <w:color w:val="auto"/>
        </w:rPr>
        <w:t>Exhibit 10.32</w:t>
      </w:r>
    </w:p>
    <w:p>
      <w:pPr>
        <w:spacing w:after="0" w:line="200" w:lineRule="exact"/>
        <w:rPr>
          <w:sz w:val="20"/>
          <w:szCs w:val="20"/>
          <w:color w:val="auto"/>
        </w:rPr>
      </w:pPr>
    </w:p>
    <w:p>
      <w:pPr>
        <w:spacing w:after="0" w:line="253" w:lineRule="exact"/>
        <w:rPr>
          <w:sz w:val="20"/>
          <w:szCs w:val="20"/>
          <w:color w:val="auto"/>
        </w:rPr>
      </w:pPr>
    </w:p>
    <w:p>
      <w:pPr>
        <w:jc w:val="center"/>
        <w:ind w:right="420"/>
        <w:spacing w:after="0" w:line="258" w:lineRule="auto"/>
        <w:rPr>
          <w:sz w:val="20"/>
          <w:szCs w:val="20"/>
          <w:color w:val="auto"/>
        </w:rPr>
      </w:pPr>
      <w:r>
        <w:rPr>
          <w:rFonts w:ascii="Times New Roman" w:cs="Times New Roman" w:eastAsia="Times New Roman" w:hAnsi="Times New Roman"/>
          <w:sz w:val="22"/>
          <w:szCs w:val="22"/>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ASSET PURCHASE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between</w:t>
      </w:r>
    </w:p>
    <w:p>
      <w:pPr>
        <w:spacing w:after="0" w:line="20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Q32 Bio Inc.</w:t>
      </w:r>
    </w:p>
    <w:p>
      <w:pPr>
        <w:spacing w:after="0" w:line="20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Q32 Bio Operations Inc.</w:t>
      </w:r>
    </w:p>
    <w:p>
      <w:pPr>
        <w:spacing w:after="0" w:line="20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Akebia Therapeutics,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Dated as of November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1301115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04"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86"/>
        </w:trPr>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80" w:type="dxa"/>
            <w:vAlign w:val="bottom"/>
            <w:gridSpan w:val="16"/>
          </w:tcPr>
          <w:p>
            <w:pPr>
              <w:jc w:val="center"/>
              <w:ind w:right="4160"/>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0" w:type="dxa"/>
            <w:vAlign w:val="bottom"/>
          </w:tcPr>
          <w:p>
            <w:pPr>
              <w:spacing w:after="0"/>
              <w:rPr>
                <w:sz w:val="1"/>
                <w:szCs w:val="1"/>
                <w:color w:val="auto"/>
              </w:rPr>
            </w:pPr>
          </w:p>
        </w:tc>
      </w:tr>
      <w:tr>
        <w:trPr>
          <w:trHeight w:val="407"/>
        </w:trPr>
        <w:tc>
          <w:tcPr>
            <w:tcW w:w="9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1.1</w:t>
            </w:r>
          </w:p>
        </w:tc>
        <w:tc>
          <w:tcPr>
            <w:tcW w:w="2060" w:type="dxa"/>
            <w:vAlign w:val="bottom"/>
            <w:gridSpan w:val="10"/>
          </w:tcPr>
          <w:p>
            <w:pPr>
              <w:ind w:left="100"/>
              <w:spacing w:after="0"/>
              <w:rPr>
                <w:sz w:val="20"/>
                <w:szCs w:val="20"/>
                <w:color w:val="auto"/>
              </w:rPr>
            </w:pPr>
            <w:r>
              <w:rPr>
                <w:rFonts w:ascii="Times New Roman" w:cs="Times New Roman" w:eastAsia="Times New Roman" w:hAnsi="Times New Roman"/>
                <w:sz w:val="22"/>
                <w:szCs w:val="22"/>
                <w:color w:val="auto"/>
              </w:rPr>
              <w:t>Sale and Purchase  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top w:val="single" w:sz="8" w:color="auto"/>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1.2</w:t>
            </w:r>
          </w:p>
        </w:tc>
        <w:tc>
          <w:tcPr>
            <w:tcW w:w="960" w:type="dxa"/>
            <w:vAlign w:val="bottom"/>
            <w:tcBorders>
              <w:top w:val="single" w:sz="8" w:color="auto"/>
              <w:bottom w:val="single" w:sz="8" w:color="auto"/>
            </w:tcBorders>
            <w:gridSpan w:val="2"/>
          </w:tcPr>
          <w:p>
            <w:pPr>
              <w:ind w:left="100"/>
              <w:spacing w:after="0" w:line="223" w:lineRule="exact"/>
              <w:rPr>
                <w:sz w:val="20"/>
                <w:szCs w:val="20"/>
                <w:color w:val="auto"/>
              </w:rPr>
            </w:pPr>
            <w:r>
              <w:rPr>
                <w:rFonts w:ascii="Times New Roman" w:cs="Times New Roman" w:eastAsia="Times New Roman" w:hAnsi="Times New Roman"/>
                <w:sz w:val="22"/>
                <w:szCs w:val="22"/>
                <w:color w:val="auto"/>
              </w:rPr>
              <w:t>Closing</w:t>
            </w:r>
          </w:p>
        </w:tc>
        <w:tc>
          <w:tcPr>
            <w:tcW w:w="120" w:type="dxa"/>
            <w:vAlign w:val="bottom"/>
            <w:tcBorders>
              <w:top w:val="single" w:sz="8" w:color="auto"/>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w w:val="72"/>
              </w:rPr>
              <w:t>4</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3"/>
            <w:vMerge w:val="restart"/>
          </w:tcPr>
          <w:p>
            <w:pPr>
              <w:ind w:left="440"/>
              <w:spacing w:after="0"/>
              <w:rPr>
                <w:sz w:val="20"/>
                <w:szCs w:val="20"/>
                <w:color w:val="auto"/>
              </w:rPr>
            </w:pPr>
            <w:r>
              <w:rPr>
                <w:rFonts w:ascii="Times New Roman" w:cs="Times New Roman" w:eastAsia="Times New Roman" w:hAnsi="Times New Roman"/>
                <w:sz w:val="22"/>
                <w:szCs w:val="22"/>
                <w:color w:val="auto"/>
                <w:w w:val="72"/>
              </w:rPr>
              <w:t>5</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1.3</w:t>
            </w:r>
          </w:p>
        </w:tc>
        <w:tc>
          <w:tcPr>
            <w:tcW w:w="1400" w:type="dxa"/>
            <w:vAlign w:val="bottom"/>
            <w:tcBorders>
              <w:bottom w:val="single" w:sz="8" w:color="auto"/>
            </w:tcBorders>
            <w:gridSpan w:val="5"/>
          </w:tcPr>
          <w:p>
            <w:pPr>
              <w:ind w:left="100"/>
              <w:spacing w:after="0" w:line="223" w:lineRule="exact"/>
              <w:rPr>
                <w:sz w:val="20"/>
                <w:szCs w:val="20"/>
                <w:color w:val="auto"/>
              </w:rPr>
            </w:pPr>
            <w:r>
              <w:rPr>
                <w:rFonts w:ascii="Times New Roman" w:cs="Times New Roman" w:eastAsia="Times New Roman" w:hAnsi="Times New Roman"/>
                <w:sz w:val="22"/>
                <w:szCs w:val="22"/>
                <w:color w:val="auto"/>
                <w:w w:val="98"/>
              </w:rPr>
              <w:t>Purchase Price</w:t>
            </w:r>
          </w:p>
        </w:tc>
        <w:tc>
          <w:tcPr>
            <w:tcW w:w="540" w:type="dxa"/>
            <w:vAlign w:val="bottom"/>
            <w:tcBorders>
              <w:bottom w:val="single" w:sz="8" w:color="auto"/>
            </w:tcBorders>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72"/>
              </w:rPr>
              <w:t>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1.4</w:t>
            </w:r>
          </w:p>
        </w:tc>
        <w:tc>
          <w:tcPr>
            <w:tcW w:w="2640" w:type="dxa"/>
            <w:vAlign w:val="bottom"/>
            <w:tcBorders>
              <w:bottom w:val="single" w:sz="8" w:color="auto"/>
            </w:tcBorders>
            <w:gridSpan w:val="13"/>
          </w:tcPr>
          <w:p>
            <w:pPr>
              <w:ind w:left="100"/>
              <w:spacing w:after="0" w:line="223" w:lineRule="exact"/>
              <w:rPr>
                <w:sz w:val="20"/>
                <w:szCs w:val="20"/>
                <w:color w:val="auto"/>
              </w:rPr>
            </w:pPr>
            <w:r>
              <w:rPr>
                <w:rFonts w:ascii="Times New Roman" w:cs="Times New Roman" w:eastAsia="Times New Roman" w:hAnsi="Times New Roman"/>
                <w:sz w:val="22"/>
                <w:szCs w:val="22"/>
                <w:color w:val="auto"/>
              </w:rPr>
              <w:t>Contingent Consideration</w:t>
            </w:r>
          </w:p>
        </w:tc>
        <w:tc>
          <w:tcPr>
            <w:tcW w:w="1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1.5</w:t>
            </w:r>
          </w:p>
        </w:tc>
        <w:tc>
          <w:tcPr>
            <w:tcW w:w="1400" w:type="dxa"/>
            <w:vAlign w:val="bottom"/>
            <w:tcBorders>
              <w:bottom w:val="single" w:sz="8" w:color="auto"/>
            </w:tcBorders>
            <w:gridSpan w:val="5"/>
          </w:tcPr>
          <w:p>
            <w:pPr>
              <w:ind w:left="100"/>
              <w:spacing w:after="0" w:line="223" w:lineRule="exact"/>
              <w:rPr>
                <w:sz w:val="20"/>
                <w:szCs w:val="20"/>
                <w:color w:val="auto"/>
              </w:rPr>
            </w:pPr>
            <w:r>
              <w:rPr>
                <w:rFonts w:ascii="Times New Roman" w:cs="Times New Roman" w:eastAsia="Times New Roman" w:hAnsi="Times New Roman"/>
                <w:sz w:val="22"/>
                <w:szCs w:val="22"/>
                <w:color w:val="auto"/>
                <w:w w:val="98"/>
              </w:rPr>
              <w:t>Late Payments</w:t>
            </w:r>
          </w:p>
        </w:tc>
        <w:tc>
          <w:tcPr>
            <w:tcW w:w="660" w:type="dxa"/>
            <w:vAlign w:val="bottom"/>
            <w:tcBorders>
              <w:bottom w:val="single" w:sz="8" w:color="auto"/>
            </w:tcBorders>
            <w:gridSpan w:val="5"/>
          </w:tcPr>
          <w:p>
            <w:pPr>
              <w:ind w:left="440"/>
              <w:spacing w:after="0" w:line="223" w:lineRule="exact"/>
              <w:rPr>
                <w:sz w:val="20"/>
                <w:szCs w:val="20"/>
                <w:color w:val="auto"/>
              </w:rPr>
            </w:pPr>
            <w:r>
              <w:rPr>
                <w:rFonts w:ascii="Times New Roman" w:cs="Times New Roman" w:eastAsia="Times New Roman" w:hAnsi="Times New Roman"/>
                <w:sz w:val="22"/>
                <w:szCs w:val="22"/>
                <w:color w:val="auto"/>
                <w:w w:val="90"/>
              </w:rPr>
              <w:t>13</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1.6</w:t>
            </w:r>
          </w:p>
        </w:tc>
        <w:tc>
          <w:tcPr>
            <w:tcW w:w="960" w:type="dxa"/>
            <w:vAlign w:val="bottom"/>
            <w:tcBorders>
              <w:bottom w:val="single" w:sz="8" w:color="auto"/>
            </w:tcBorders>
            <w:gridSpan w:val="2"/>
          </w:tcPr>
          <w:p>
            <w:pPr>
              <w:ind w:left="100"/>
              <w:spacing w:after="0" w:line="223" w:lineRule="exact"/>
              <w:rPr>
                <w:sz w:val="20"/>
                <w:szCs w:val="20"/>
                <w:color w:val="auto"/>
              </w:rPr>
            </w:pPr>
            <w:r>
              <w:rPr>
                <w:rFonts w:ascii="Times New Roman" w:cs="Times New Roman" w:eastAsia="Times New Roman" w:hAnsi="Times New Roman"/>
                <w:sz w:val="22"/>
                <w:szCs w:val="22"/>
                <w:color w:val="auto"/>
              </w:rPr>
              <w:t>Records</w:t>
            </w:r>
          </w:p>
        </w:tc>
        <w:tc>
          <w:tcPr>
            <w:tcW w:w="220" w:type="dxa"/>
            <w:vAlign w:val="bottom"/>
            <w:tcBorders>
              <w:bottom w:val="single" w:sz="8" w:color="auto"/>
            </w:tcBorders>
            <w:gridSpan w:val="2"/>
          </w:tcPr>
          <w:p>
            <w:pPr>
              <w:ind w:left="20"/>
              <w:spacing w:after="0" w:line="223" w:lineRule="exact"/>
              <w:rPr>
                <w:sz w:val="20"/>
                <w:szCs w:val="20"/>
                <w:color w:val="auto"/>
              </w:rPr>
            </w:pPr>
            <w:r>
              <w:rPr>
                <w:rFonts w:ascii="Times New Roman" w:cs="Times New Roman" w:eastAsia="Times New Roman" w:hAnsi="Times New Roman"/>
                <w:sz w:val="22"/>
                <w:szCs w:val="22"/>
                <w:color w:val="auto"/>
                <w:w w:val="81"/>
              </w:rPr>
              <w:t>13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w w:val="90"/>
              </w:rPr>
              <w:t>13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1.7</w:t>
            </w:r>
          </w:p>
        </w:tc>
        <w:tc>
          <w:tcPr>
            <w:tcW w:w="2640" w:type="dxa"/>
            <w:vAlign w:val="bottom"/>
            <w:tcBorders>
              <w:bottom w:val="single" w:sz="8" w:color="auto"/>
            </w:tcBorders>
            <w:gridSpan w:val="13"/>
          </w:tcPr>
          <w:p>
            <w:pPr>
              <w:ind w:left="100"/>
              <w:spacing w:after="0" w:line="223" w:lineRule="exact"/>
              <w:rPr>
                <w:sz w:val="20"/>
                <w:szCs w:val="20"/>
                <w:color w:val="auto"/>
              </w:rPr>
            </w:pPr>
            <w:r>
              <w:rPr>
                <w:rFonts w:ascii="Times New Roman" w:cs="Times New Roman" w:eastAsia="Times New Roman" w:hAnsi="Times New Roman"/>
                <w:sz w:val="22"/>
                <w:szCs w:val="22"/>
                <w:color w:val="auto"/>
                <w:w w:val="99"/>
              </w:rPr>
              <w:t>Inspection of Buyer Records</w:t>
            </w:r>
          </w:p>
        </w:tc>
        <w:tc>
          <w:tcPr>
            <w:tcW w:w="280" w:type="dxa"/>
            <w:vAlign w:val="bottom"/>
            <w:tcBorders>
              <w:bottom w:val="single" w:sz="8" w:color="auto"/>
            </w:tcBorders>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1.8</w:t>
            </w:r>
          </w:p>
        </w:tc>
        <w:tc>
          <w:tcPr>
            <w:tcW w:w="2920" w:type="dxa"/>
            <w:vAlign w:val="bottom"/>
            <w:tcBorders>
              <w:bottom w:val="single" w:sz="8" w:color="auto"/>
            </w:tcBorders>
            <w:gridSpan w:val="15"/>
          </w:tcPr>
          <w:p>
            <w:pPr>
              <w:ind w:left="100"/>
              <w:spacing w:after="0" w:line="223" w:lineRule="exact"/>
              <w:rPr>
                <w:sz w:val="20"/>
                <w:szCs w:val="20"/>
                <w:color w:val="auto"/>
              </w:rPr>
            </w:pPr>
            <w:r>
              <w:rPr>
                <w:rFonts w:ascii="Times New Roman" w:cs="Times New Roman" w:eastAsia="Times New Roman" w:hAnsi="Times New Roman"/>
                <w:sz w:val="22"/>
                <w:szCs w:val="22"/>
                <w:color w:val="auto"/>
                <w:w w:val="93"/>
              </w:rPr>
              <w:t>Commercially Reasonable Efforts</w:t>
            </w:r>
          </w:p>
        </w:tc>
        <w:tc>
          <w:tcPr>
            <w:tcW w:w="420" w:type="dxa"/>
            <w:vAlign w:val="bottom"/>
            <w:tcBorders>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14</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1.9</w:t>
            </w:r>
          </w:p>
        </w:tc>
        <w:tc>
          <w:tcPr>
            <w:tcW w:w="2060" w:type="dxa"/>
            <w:vAlign w:val="bottom"/>
            <w:tcBorders>
              <w:bottom w:val="single" w:sz="8" w:color="auto"/>
            </w:tcBorders>
            <w:gridSpan w:val="10"/>
          </w:tcPr>
          <w:p>
            <w:pPr>
              <w:ind w:left="100"/>
              <w:spacing w:after="0" w:line="223" w:lineRule="exact"/>
              <w:rPr>
                <w:sz w:val="20"/>
                <w:szCs w:val="20"/>
                <w:color w:val="auto"/>
              </w:rPr>
            </w:pPr>
            <w:r>
              <w:rPr>
                <w:rFonts w:ascii="Times New Roman" w:cs="Times New Roman" w:eastAsia="Times New Roman" w:hAnsi="Times New Roman"/>
                <w:sz w:val="22"/>
                <w:szCs w:val="22"/>
                <w:color w:val="auto"/>
                <w:w w:val="98"/>
              </w:rPr>
              <w:t>Development Updates</w:t>
            </w:r>
          </w:p>
        </w:tc>
        <w:tc>
          <w:tcPr>
            <w:tcW w:w="440" w:type="dxa"/>
            <w:vAlign w:val="bottom"/>
            <w:tcBorders>
              <w:bottom w:val="single" w:sz="8" w:color="auto"/>
            </w:tcBorders>
            <w:gridSpan w:val="2"/>
          </w:tcPr>
          <w:p>
            <w:pPr>
              <w:jc w:val="right"/>
              <w:ind w:right="20"/>
              <w:spacing w:after="0" w:line="223" w:lineRule="exact"/>
              <w:rPr>
                <w:sz w:val="20"/>
                <w:szCs w:val="20"/>
                <w:color w:val="auto"/>
              </w:rPr>
            </w:pPr>
            <w:r>
              <w:rPr>
                <w:rFonts w:ascii="Times New Roman" w:cs="Times New Roman" w:eastAsia="Times New Roman" w:hAnsi="Times New Roman"/>
                <w:sz w:val="22"/>
                <w:szCs w:val="22"/>
                <w:color w:val="auto"/>
              </w:rPr>
              <w:t>14</w:t>
            </w:r>
          </w:p>
        </w:tc>
        <w:tc>
          <w:tcPr>
            <w:tcW w:w="140" w:type="dxa"/>
            <w:vAlign w:val="bottom"/>
          </w:tcPr>
          <w:p>
            <w:pPr>
              <w:spacing w:after="0"/>
              <w:rPr>
                <w:sz w:val="19"/>
                <w:szCs w:val="19"/>
                <w:color w:val="auto"/>
              </w:rPr>
            </w:pPr>
          </w:p>
        </w:tc>
        <w:tc>
          <w:tcPr>
            <w:tcW w:w="300" w:type="dxa"/>
            <w:vAlign w:val="bottom"/>
            <w:gridSpan w:val="3"/>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15</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1.10</w:t>
            </w:r>
          </w:p>
        </w:tc>
        <w:tc>
          <w:tcPr>
            <w:tcW w:w="2500" w:type="dxa"/>
            <w:vAlign w:val="bottom"/>
            <w:tcBorders>
              <w:bottom w:val="single" w:sz="8" w:color="auto"/>
            </w:tcBorders>
            <w:gridSpan w:val="12"/>
          </w:tcPr>
          <w:p>
            <w:pPr>
              <w:ind w:left="100"/>
              <w:spacing w:after="0" w:line="223" w:lineRule="exact"/>
              <w:rPr>
                <w:sz w:val="20"/>
                <w:szCs w:val="20"/>
                <w:color w:val="auto"/>
              </w:rPr>
            </w:pPr>
            <w:r>
              <w:rPr>
                <w:rFonts w:ascii="Times New Roman" w:cs="Times New Roman" w:eastAsia="Times New Roman" w:hAnsi="Times New Roman"/>
                <w:sz w:val="22"/>
                <w:szCs w:val="22"/>
                <w:color w:val="auto"/>
              </w:rPr>
              <w:t>Milestone Event Disputes</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3"/>
            <w:vMerge w:val="continue"/>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Section 1.11</w:t>
            </w:r>
          </w:p>
        </w:tc>
        <w:tc>
          <w:tcPr>
            <w:tcW w:w="1400" w:type="dxa"/>
            <w:vAlign w:val="bottom"/>
            <w:gridSpan w:val="5"/>
          </w:tcPr>
          <w:p>
            <w:pPr>
              <w:ind w:left="100"/>
              <w:spacing w:after="0" w:line="223" w:lineRule="exact"/>
              <w:rPr>
                <w:sz w:val="20"/>
                <w:szCs w:val="20"/>
                <w:color w:val="auto"/>
              </w:rPr>
            </w:pPr>
            <w:r>
              <w:rPr>
                <w:rFonts w:ascii="Times New Roman" w:cs="Times New Roman" w:eastAsia="Times New Roman" w:hAnsi="Times New Roman"/>
                <w:sz w:val="22"/>
                <w:szCs w:val="22"/>
                <w:color w:val="auto"/>
              </w:rPr>
              <w:t>Currency 16</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16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top w:val="single" w:sz="8" w:color="auto"/>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1.12</w:t>
            </w:r>
          </w:p>
        </w:tc>
        <w:tc>
          <w:tcPr>
            <w:tcW w:w="1180" w:type="dxa"/>
            <w:vAlign w:val="bottom"/>
            <w:tcBorders>
              <w:top w:val="single" w:sz="8" w:color="auto"/>
              <w:bottom w:val="single" w:sz="8" w:color="auto"/>
            </w:tcBorders>
            <w:gridSpan w:val="4"/>
          </w:tcPr>
          <w:p>
            <w:pPr>
              <w:ind w:left="100"/>
              <w:spacing w:after="0" w:line="223" w:lineRule="exact"/>
              <w:rPr>
                <w:sz w:val="20"/>
                <w:szCs w:val="20"/>
                <w:color w:val="auto"/>
              </w:rPr>
            </w:pPr>
            <w:r>
              <w:rPr>
                <w:rFonts w:ascii="Times New Roman" w:cs="Times New Roman" w:eastAsia="Times New Roman" w:hAnsi="Times New Roman"/>
                <w:sz w:val="22"/>
                <w:szCs w:val="22"/>
                <w:color w:val="auto"/>
                <w:w w:val="95"/>
              </w:rPr>
              <w:t>Withholding</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1.13</w:t>
            </w:r>
          </w:p>
        </w:tc>
        <w:tc>
          <w:tcPr>
            <w:tcW w:w="2940" w:type="dxa"/>
            <w:vAlign w:val="bottom"/>
            <w:tcBorders>
              <w:bottom w:val="single" w:sz="8" w:color="auto"/>
            </w:tcBorders>
            <w:gridSpan w:val="16"/>
          </w:tcPr>
          <w:p>
            <w:pPr>
              <w:ind w:left="100"/>
              <w:spacing w:after="0" w:line="223" w:lineRule="exact"/>
              <w:rPr>
                <w:sz w:val="20"/>
                <w:szCs w:val="20"/>
                <w:color w:val="auto"/>
              </w:rPr>
            </w:pPr>
            <w:r>
              <w:rPr>
                <w:rFonts w:ascii="Times New Roman" w:cs="Times New Roman" w:eastAsia="Times New Roman" w:hAnsi="Times New Roman"/>
                <w:sz w:val="22"/>
                <w:szCs w:val="22"/>
                <w:color w:val="auto"/>
              </w:rPr>
              <w:t>Transfer Taxes and Other Costs</w:t>
            </w:r>
          </w:p>
        </w:tc>
        <w:tc>
          <w:tcPr>
            <w:tcW w:w="400" w:type="dxa"/>
            <w:vAlign w:val="bottom"/>
            <w:tcBorders>
              <w:bottom w:val="single" w:sz="8" w:color="auto"/>
            </w:tcBorders>
            <w:vMerge w:val="continue"/>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1.14</w:t>
            </w:r>
          </w:p>
        </w:tc>
        <w:tc>
          <w:tcPr>
            <w:tcW w:w="2940" w:type="dxa"/>
            <w:vAlign w:val="bottom"/>
            <w:tcBorders>
              <w:bottom w:val="single" w:sz="8" w:color="auto"/>
            </w:tcBorders>
            <w:gridSpan w:val="16"/>
          </w:tcPr>
          <w:p>
            <w:pPr>
              <w:ind w:left="100"/>
              <w:spacing w:after="0" w:line="223" w:lineRule="exact"/>
              <w:rPr>
                <w:sz w:val="20"/>
                <w:szCs w:val="20"/>
                <w:color w:val="auto"/>
              </w:rPr>
            </w:pPr>
            <w:r>
              <w:rPr>
                <w:rFonts w:ascii="Times New Roman" w:cs="Times New Roman" w:eastAsia="Times New Roman" w:hAnsi="Times New Roman"/>
                <w:sz w:val="22"/>
                <w:szCs w:val="22"/>
                <w:color w:val="auto"/>
              </w:rPr>
              <w:t>Allocation of the Consideration</w:t>
            </w:r>
          </w:p>
        </w:tc>
        <w:tc>
          <w:tcPr>
            <w:tcW w:w="4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16</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650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ARTICLE 2  REPRESENTATIONS AND WARRANTIES OF SELLER</w:t>
            </w:r>
          </w:p>
        </w:tc>
        <w:tc>
          <w:tcPr>
            <w:tcW w:w="4740" w:type="dxa"/>
            <w:vAlign w:val="bottom"/>
            <w:gridSpan w:val="4"/>
          </w:tcPr>
          <w:p>
            <w:pPr>
              <w:jc w:val="right"/>
              <w:ind w:right="4100"/>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439"/>
        </w:trPr>
        <w:tc>
          <w:tcPr>
            <w:tcW w:w="920" w:type="dxa"/>
            <w:vAlign w:val="bottom"/>
            <w:tcBorders>
              <w:top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Section 2.1</w:t>
            </w:r>
          </w:p>
        </w:tc>
        <w:tc>
          <w:tcPr>
            <w:tcW w:w="1400" w:type="dxa"/>
            <w:vAlign w:val="bottom"/>
            <w:tcBorders>
              <w:top w:val="single" w:sz="8" w:color="auto"/>
              <w:bottom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Organization</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17</w:t>
            </w: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bottom w:val="single" w:sz="8" w:color="auto"/>
            </w:tcBorders>
            <w:gridSpan w:val="2"/>
            <w:vMerge w:val="restart"/>
          </w:tcPr>
          <w:p>
            <w:pPr>
              <w:jc w:val="right"/>
              <w:ind w:right="20"/>
              <w:spacing w:after="0"/>
              <w:rPr>
                <w:sz w:val="20"/>
                <w:szCs w:val="20"/>
                <w:color w:val="auto"/>
              </w:rPr>
            </w:pPr>
            <w:r>
              <w:rPr>
                <w:rFonts w:ascii="Times New Roman" w:cs="Times New Roman" w:eastAsia="Times New Roman" w:hAnsi="Times New Roman"/>
                <w:sz w:val="22"/>
                <w:szCs w:val="22"/>
                <w:color w:val="auto"/>
                <w:w w:val="99"/>
              </w:rPr>
              <w:t>17</w:t>
            </w: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2.2</w:t>
            </w:r>
          </w:p>
        </w:tc>
        <w:tc>
          <w:tcPr>
            <w:tcW w:w="1620" w:type="dxa"/>
            <w:vAlign w:val="bottom"/>
            <w:tcBorders>
              <w:bottom w:val="single" w:sz="8" w:color="auto"/>
            </w:tcBorders>
            <w:gridSpan w:val="6"/>
          </w:tcPr>
          <w:p>
            <w:pPr>
              <w:ind w:left="100"/>
              <w:spacing w:after="0" w:line="223" w:lineRule="exact"/>
              <w:rPr>
                <w:sz w:val="20"/>
                <w:szCs w:val="20"/>
                <w:color w:val="auto"/>
              </w:rPr>
            </w:pPr>
            <w:r>
              <w:rPr>
                <w:rFonts w:ascii="Times New Roman" w:cs="Times New Roman" w:eastAsia="Times New Roman" w:hAnsi="Times New Roman"/>
                <w:sz w:val="22"/>
                <w:szCs w:val="22"/>
                <w:color w:val="auto"/>
              </w:rPr>
              <w:t>Corporate and</w:t>
            </w:r>
          </w:p>
        </w:tc>
        <w:tc>
          <w:tcPr>
            <w:tcW w:w="2360" w:type="dxa"/>
            <w:vAlign w:val="bottom"/>
            <w:tcBorders>
              <w:bottom w:val="single" w:sz="8" w:color="auto"/>
            </w:tcBorders>
            <w:gridSpan w:val="13"/>
          </w:tcPr>
          <w:p>
            <w:pPr>
              <w:spacing w:after="0" w:line="223" w:lineRule="exact"/>
              <w:rPr>
                <w:sz w:val="20"/>
                <w:szCs w:val="20"/>
                <w:color w:val="auto"/>
              </w:rPr>
            </w:pPr>
            <w:r>
              <w:rPr>
                <w:rFonts w:ascii="Times New Roman" w:cs="Times New Roman" w:eastAsia="Times New Roman" w:hAnsi="Times New Roman"/>
                <w:sz w:val="22"/>
                <w:szCs w:val="22"/>
                <w:color w:val="auto"/>
                <w:w w:val="92"/>
              </w:rPr>
              <w:t>Governmental Authorization</w:t>
            </w:r>
          </w:p>
        </w:tc>
        <w:tc>
          <w:tcPr>
            <w:tcW w:w="260" w:type="dxa"/>
            <w:vAlign w:val="bottom"/>
            <w:tcBorders>
              <w:bottom w:val="single" w:sz="8" w:color="auto"/>
            </w:tcBorders>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2.3</w:t>
            </w:r>
          </w:p>
        </w:tc>
        <w:tc>
          <w:tcPr>
            <w:tcW w:w="2060" w:type="dxa"/>
            <w:vAlign w:val="bottom"/>
            <w:tcBorders>
              <w:bottom w:val="single" w:sz="8" w:color="auto"/>
            </w:tcBorders>
            <w:gridSpan w:val="10"/>
          </w:tcPr>
          <w:p>
            <w:pPr>
              <w:ind w:left="100"/>
              <w:spacing w:after="0" w:line="223" w:lineRule="exact"/>
              <w:rPr>
                <w:sz w:val="20"/>
                <w:szCs w:val="20"/>
                <w:color w:val="auto"/>
              </w:rPr>
            </w:pPr>
            <w:r>
              <w:rPr>
                <w:rFonts w:ascii="Times New Roman" w:cs="Times New Roman" w:eastAsia="Times New Roman" w:hAnsi="Times New Roman"/>
                <w:sz w:val="22"/>
                <w:szCs w:val="22"/>
                <w:color w:val="auto"/>
                <w:w w:val="97"/>
              </w:rPr>
              <w:t>Non-Contravention 17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Section 2.4</w:t>
            </w:r>
          </w:p>
        </w:tc>
        <w:tc>
          <w:tcPr>
            <w:tcW w:w="1400" w:type="dxa"/>
            <w:vAlign w:val="bottom"/>
            <w:gridSpan w:val="5"/>
          </w:tcPr>
          <w:p>
            <w:pPr>
              <w:ind w:left="100"/>
              <w:spacing w:after="0" w:line="223" w:lineRule="exact"/>
              <w:rPr>
                <w:sz w:val="20"/>
                <w:szCs w:val="20"/>
                <w:color w:val="auto"/>
              </w:rPr>
            </w:pPr>
            <w:r>
              <w:rPr>
                <w:rFonts w:ascii="Times New Roman" w:cs="Times New Roman" w:eastAsia="Times New Roman" w:hAnsi="Times New Roman"/>
                <w:sz w:val="22"/>
                <w:szCs w:val="22"/>
                <w:color w:val="auto"/>
              </w:rPr>
              <w:t>Solvency 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top w:val="single" w:sz="8" w:color="auto"/>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2.5</w:t>
            </w:r>
          </w:p>
        </w:tc>
        <w:tc>
          <w:tcPr>
            <w:tcW w:w="1180" w:type="dxa"/>
            <w:vAlign w:val="bottom"/>
            <w:tcBorders>
              <w:top w:val="single" w:sz="8" w:color="auto"/>
              <w:bottom w:val="single" w:sz="8" w:color="auto"/>
            </w:tcBorders>
            <w:gridSpan w:val="4"/>
          </w:tcPr>
          <w:p>
            <w:pPr>
              <w:ind w:left="100"/>
              <w:spacing w:after="0" w:line="223" w:lineRule="exact"/>
              <w:rPr>
                <w:sz w:val="20"/>
                <w:szCs w:val="20"/>
                <w:color w:val="auto"/>
              </w:rPr>
            </w:pPr>
            <w:r>
              <w:rPr>
                <w:rFonts w:ascii="Times New Roman" w:cs="Times New Roman" w:eastAsia="Times New Roman" w:hAnsi="Times New Roman"/>
                <w:sz w:val="22"/>
                <w:szCs w:val="22"/>
                <w:color w:val="auto"/>
              </w:rPr>
              <w:t>Absence of</w:t>
            </w:r>
          </w:p>
        </w:tc>
        <w:tc>
          <w:tcPr>
            <w:tcW w:w="2160" w:type="dxa"/>
            <w:vAlign w:val="bottom"/>
            <w:tcBorders>
              <w:bottom w:val="single" w:sz="8" w:color="auto"/>
            </w:tcBorders>
            <w:gridSpan w:val="13"/>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w w:val="94"/>
              </w:rPr>
              <w:t>Material Adverse Effect</w:t>
            </w:r>
          </w:p>
        </w:tc>
        <w:tc>
          <w:tcPr>
            <w:tcW w:w="4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2.6</w:t>
            </w:r>
          </w:p>
        </w:tc>
        <w:tc>
          <w:tcPr>
            <w:tcW w:w="2060" w:type="dxa"/>
            <w:vAlign w:val="bottom"/>
            <w:tcBorders>
              <w:bottom w:val="single" w:sz="8" w:color="auto"/>
            </w:tcBorders>
            <w:gridSpan w:val="10"/>
          </w:tcPr>
          <w:p>
            <w:pPr>
              <w:ind w:left="100"/>
              <w:spacing w:after="0" w:line="223" w:lineRule="exact"/>
              <w:rPr>
                <w:sz w:val="20"/>
                <w:szCs w:val="20"/>
                <w:color w:val="auto"/>
              </w:rPr>
            </w:pPr>
            <w:r>
              <w:rPr>
                <w:rFonts w:ascii="Times New Roman" w:cs="Times New Roman" w:eastAsia="Times New Roman" w:hAnsi="Times New Roman"/>
                <w:sz w:val="22"/>
                <w:szCs w:val="22"/>
                <w:color w:val="auto"/>
              </w:rPr>
              <w:t>Material Contracts 18</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w w:val="90"/>
              </w:rPr>
              <w:t>20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2.7</w:t>
            </w:r>
          </w:p>
        </w:tc>
        <w:tc>
          <w:tcPr>
            <w:tcW w:w="2640" w:type="dxa"/>
            <w:vAlign w:val="bottom"/>
            <w:tcBorders>
              <w:bottom w:val="single" w:sz="8" w:color="auto"/>
            </w:tcBorders>
            <w:gridSpan w:val="13"/>
          </w:tcPr>
          <w:p>
            <w:pPr>
              <w:ind w:left="100"/>
              <w:spacing w:after="0" w:line="223" w:lineRule="exact"/>
              <w:rPr>
                <w:sz w:val="20"/>
                <w:szCs w:val="20"/>
                <w:color w:val="auto"/>
              </w:rPr>
            </w:pPr>
            <w:r>
              <w:rPr>
                <w:rFonts w:ascii="Times New Roman" w:cs="Times New Roman" w:eastAsia="Times New Roman" w:hAnsi="Times New Roman"/>
                <w:sz w:val="22"/>
                <w:szCs w:val="22"/>
                <w:color w:val="auto"/>
              </w:rPr>
              <w:t>Title to Transferred Assets</w:t>
            </w:r>
          </w:p>
        </w:tc>
        <w:tc>
          <w:tcPr>
            <w:tcW w:w="280" w:type="dxa"/>
            <w:vAlign w:val="bottom"/>
            <w:tcBorders>
              <w:bottom w:val="single" w:sz="8" w:color="auto"/>
            </w:tcBorders>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2.8</w:t>
            </w:r>
          </w:p>
        </w:tc>
        <w:tc>
          <w:tcPr>
            <w:tcW w:w="3340" w:type="dxa"/>
            <w:vAlign w:val="bottom"/>
            <w:tcBorders>
              <w:bottom w:val="single" w:sz="8" w:color="auto"/>
            </w:tcBorders>
            <w:gridSpan w:val="17"/>
          </w:tcPr>
          <w:p>
            <w:pPr>
              <w:ind w:left="100"/>
              <w:spacing w:after="0" w:line="223" w:lineRule="exact"/>
              <w:rPr>
                <w:sz w:val="20"/>
                <w:szCs w:val="20"/>
                <w:color w:val="auto"/>
              </w:rPr>
            </w:pPr>
            <w:r>
              <w:rPr>
                <w:rFonts w:ascii="Times New Roman" w:cs="Times New Roman" w:eastAsia="Times New Roman" w:hAnsi="Times New Roman"/>
                <w:sz w:val="22"/>
                <w:szCs w:val="22"/>
                <w:color w:val="auto"/>
              </w:rPr>
              <w:t>Completeness of Transferred Assets</w:t>
            </w:r>
          </w:p>
        </w:tc>
        <w:tc>
          <w:tcPr>
            <w:tcW w:w="4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2.9</w:t>
            </w:r>
          </w:p>
        </w:tc>
        <w:tc>
          <w:tcPr>
            <w:tcW w:w="2060" w:type="dxa"/>
            <w:vAlign w:val="bottom"/>
            <w:tcBorders>
              <w:bottom w:val="single" w:sz="8" w:color="auto"/>
            </w:tcBorders>
            <w:gridSpan w:val="10"/>
          </w:tcPr>
          <w:p>
            <w:pPr>
              <w:ind w:left="100"/>
              <w:spacing w:after="0" w:line="223" w:lineRule="exact"/>
              <w:rPr>
                <w:sz w:val="20"/>
                <w:szCs w:val="20"/>
                <w:color w:val="auto"/>
              </w:rPr>
            </w:pPr>
            <w:r>
              <w:rPr>
                <w:rFonts w:ascii="Times New Roman" w:cs="Times New Roman" w:eastAsia="Times New Roman" w:hAnsi="Times New Roman"/>
                <w:sz w:val="22"/>
                <w:szCs w:val="22"/>
                <w:color w:val="auto"/>
              </w:rPr>
              <w:t>Intellectual Property</w:t>
            </w:r>
          </w:p>
        </w:tc>
        <w:tc>
          <w:tcPr>
            <w:tcW w:w="440" w:type="dxa"/>
            <w:vAlign w:val="bottom"/>
            <w:tcBorders>
              <w:bottom w:val="single" w:sz="8" w:color="auto"/>
            </w:tcBorders>
            <w:gridSpan w:val="2"/>
          </w:tcPr>
          <w:p>
            <w:pPr>
              <w:jc w:val="right"/>
              <w:ind w:right="20"/>
              <w:spacing w:after="0" w:line="223" w:lineRule="exact"/>
              <w:rPr>
                <w:sz w:val="20"/>
                <w:szCs w:val="20"/>
                <w:color w:val="auto"/>
              </w:rPr>
            </w:pPr>
            <w:r>
              <w:rPr>
                <w:rFonts w:ascii="Times New Roman" w:cs="Times New Roman" w:eastAsia="Times New Roman" w:hAnsi="Times New Roman"/>
                <w:sz w:val="22"/>
                <w:szCs w:val="22"/>
                <w:color w:val="auto"/>
              </w:rPr>
              <w:t>21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2.10</w:t>
            </w:r>
          </w:p>
        </w:tc>
        <w:tc>
          <w:tcPr>
            <w:tcW w:w="960" w:type="dxa"/>
            <w:vAlign w:val="bottom"/>
            <w:tcBorders>
              <w:bottom w:val="single" w:sz="8" w:color="auto"/>
            </w:tcBorders>
            <w:gridSpan w:val="2"/>
          </w:tcPr>
          <w:p>
            <w:pPr>
              <w:ind w:left="100"/>
              <w:spacing w:after="0" w:line="223" w:lineRule="exact"/>
              <w:rPr>
                <w:sz w:val="20"/>
                <w:szCs w:val="20"/>
                <w:color w:val="auto"/>
              </w:rPr>
            </w:pPr>
            <w:r>
              <w:rPr>
                <w:rFonts w:ascii="Times New Roman" w:cs="Times New Roman" w:eastAsia="Times New Roman" w:hAnsi="Times New Roman"/>
                <w:sz w:val="22"/>
                <w:szCs w:val="22"/>
                <w:color w:val="auto"/>
                <w:w w:val="96"/>
              </w:rPr>
              <w:t>Litigation</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w w:val="90"/>
              </w:rPr>
              <w:t>22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2.11</w:t>
            </w:r>
          </w:p>
        </w:tc>
        <w:tc>
          <w:tcPr>
            <w:tcW w:w="2060" w:type="dxa"/>
            <w:vAlign w:val="bottom"/>
            <w:tcBorders>
              <w:bottom w:val="single" w:sz="8" w:color="auto"/>
            </w:tcBorders>
            <w:gridSpan w:val="10"/>
          </w:tcPr>
          <w:p>
            <w:pPr>
              <w:ind w:left="100"/>
              <w:spacing w:after="0" w:line="223" w:lineRule="exact"/>
              <w:rPr>
                <w:sz w:val="20"/>
                <w:szCs w:val="20"/>
                <w:color w:val="auto"/>
              </w:rPr>
            </w:pPr>
            <w:r>
              <w:rPr>
                <w:rFonts w:ascii="Times New Roman" w:cs="Times New Roman" w:eastAsia="Times New Roman" w:hAnsi="Times New Roman"/>
                <w:sz w:val="22"/>
                <w:szCs w:val="22"/>
                <w:color w:val="auto"/>
              </w:rPr>
              <w:t>Transferred Materials</w:t>
            </w:r>
          </w:p>
        </w:tc>
        <w:tc>
          <w:tcPr>
            <w:tcW w:w="42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22</w:t>
            </w: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2.12</w:t>
            </w:r>
          </w:p>
        </w:tc>
        <w:tc>
          <w:tcPr>
            <w:tcW w:w="4400" w:type="dxa"/>
            <w:vAlign w:val="bottom"/>
            <w:tcBorders>
              <w:bottom w:val="single" w:sz="8" w:color="auto"/>
            </w:tcBorders>
            <w:gridSpan w:val="22"/>
          </w:tcPr>
          <w:p>
            <w:pPr>
              <w:ind w:left="100"/>
              <w:spacing w:after="0" w:line="223" w:lineRule="exact"/>
              <w:rPr>
                <w:sz w:val="20"/>
                <w:szCs w:val="20"/>
                <w:color w:val="auto"/>
              </w:rPr>
            </w:pPr>
            <w:r>
              <w:rPr>
                <w:rFonts w:ascii="Times New Roman" w:cs="Times New Roman" w:eastAsia="Times New Roman" w:hAnsi="Times New Roman"/>
                <w:sz w:val="22"/>
                <w:szCs w:val="22"/>
                <w:color w:val="auto"/>
              </w:rPr>
              <w:t>Compliance with Laws; Licenses and Permits</w:t>
            </w:r>
          </w:p>
        </w:tc>
        <w:tc>
          <w:tcPr>
            <w:tcW w:w="240" w:type="dxa"/>
            <w:vAlign w:val="bottom"/>
            <w:tcBorders>
              <w:bottom w:val="single" w:sz="8" w:color="auto"/>
            </w:tcBorders>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2.13</w:t>
            </w:r>
          </w:p>
        </w:tc>
        <w:tc>
          <w:tcPr>
            <w:tcW w:w="3980" w:type="dxa"/>
            <w:vAlign w:val="bottom"/>
            <w:tcBorders>
              <w:bottom w:val="single" w:sz="8" w:color="auto"/>
            </w:tcBorders>
            <w:gridSpan w:val="19"/>
          </w:tcPr>
          <w:p>
            <w:pPr>
              <w:ind w:left="100"/>
              <w:spacing w:after="0" w:line="223" w:lineRule="exact"/>
              <w:rPr>
                <w:sz w:val="20"/>
                <w:szCs w:val="20"/>
                <w:color w:val="auto"/>
              </w:rPr>
            </w:pPr>
            <w:r>
              <w:rPr>
                <w:rFonts w:ascii="Times New Roman" w:cs="Times New Roman" w:eastAsia="Times New Roman" w:hAnsi="Times New Roman"/>
                <w:sz w:val="22"/>
                <w:szCs w:val="22"/>
                <w:color w:val="auto"/>
                <w:w w:val="97"/>
              </w:rPr>
              <w:t>Pre-clinical Development and Clinical Trials</w:t>
            </w: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w w:val="99"/>
              </w:rPr>
              <w:t>24</w:t>
            </w: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2.14</w:t>
            </w:r>
          </w:p>
        </w:tc>
        <w:tc>
          <w:tcPr>
            <w:tcW w:w="1400" w:type="dxa"/>
            <w:vAlign w:val="bottom"/>
            <w:tcBorders>
              <w:bottom w:val="single" w:sz="8" w:color="auto"/>
            </w:tcBorders>
            <w:gridSpan w:val="5"/>
          </w:tcPr>
          <w:p>
            <w:pPr>
              <w:ind w:left="100"/>
              <w:spacing w:after="0" w:line="223" w:lineRule="exact"/>
              <w:rPr>
                <w:sz w:val="20"/>
                <w:szCs w:val="20"/>
                <w:color w:val="auto"/>
              </w:rPr>
            </w:pPr>
            <w:r>
              <w:rPr>
                <w:rFonts w:ascii="Times New Roman" w:cs="Times New Roman" w:eastAsia="Times New Roman" w:hAnsi="Times New Roman"/>
                <w:sz w:val="22"/>
                <w:szCs w:val="22"/>
                <w:color w:val="auto"/>
              </w:rPr>
              <w:t>Tax Matters</w:t>
            </w:r>
          </w:p>
        </w:tc>
        <w:tc>
          <w:tcPr>
            <w:tcW w:w="240" w:type="dxa"/>
            <w:vAlign w:val="bottom"/>
            <w:tcBorders>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w w:val="90"/>
              </w:rPr>
              <w:t>25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2.15</w:t>
            </w:r>
          </w:p>
        </w:tc>
        <w:tc>
          <w:tcPr>
            <w:tcW w:w="1400" w:type="dxa"/>
            <w:vAlign w:val="bottom"/>
            <w:tcBorders>
              <w:bottom w:val="single" w:sz="8" w:color="auto"/>
            </w:tcBorders>
            <w:gridSpan w:val="5"/>
          </w:tcPr>
          <w:p>
            <w:pPr>
              <w:ind w:left="100"/>
              <w:spacing w:after="0" w:line="223" w:lineRule="exact"/>
              <w:rPr>
                <w:sz w:val="20"/>
                <w:szCs w:val="20"/>
                <w:color w:val="auto"/>
              </w:rPr>
            </w:pPr>
            <w:r>
              <w:rPr>
                <w:rFonts w:ascii="Times New Roman" w:cs="Times New Roman" w:eastAsia="Times New Roman" w:hAnsi="Times New Roman"/>
                <w:sz w:val="22"/>
                <w:szCs w:val="22"/>
                <w:color w:val="auto"/>
              </w:rPr>
              <w:t>Finders’ Fees</w:t>
            </w:r>
          </w:p>
        </w:tc>
        <w:tc>
          <w:tcPr>
            <w:tcW w:w="240" w:type="dxa"/>
            <w:vAlign w:val="bottom"/>
            <w:tcBorders>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w w:val="90"/>
              </w:rPr>
              <w:t>25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2.16</w:t>
            </w:r>
          </w:p>
        </w:tc>
        <w:tc>
          <w:tcPr>
            <w:tcW w:w="76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w w:val="99"/>
              </w:rPr>
              <w:t>[**] 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26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Section 2.17</w:t>
            </w:r>
          </w:p>
        </w:tc>
        <w:tc>
          <w:tcPr>
            <w:tcW w:w="3980" w:type="dxa"/>
            <w:vAlign w:val="bottom"/>
            <w:tcBorders>
              <w:bottom w:val="single" w:sz="8" w:color="auto"/>
            </w:tcBorders>
            <w:gridSpan w:val="19"/>
          </w:tcPr>
          <w:p>
            <w:pPr>
              <w:ind w:left="100"/>
              <w:spacing w:after="0" w:line="223" w:lineRule="exact"/>
              <w:rPr>
                <w:sz w:val="20"/>
                <w:szCs w:val="20"/>
                <w:color w:val="auto"/>
              </w:rPr>
            </w:pPr>
            <w:r>
              <w:rPr>
                <w:rFonts w:ascii="Times New Roman" w:cs="Times New Roman" w:eastAsia="Times New Roman" w:hAnsi="Times New Roman"/>
                <w:sz w:val="22"/>
                <w:szCs w:val="22"/>
                <w:color w:val="auto"/>
              </w:rPr>
              <w:t>No Other Representations and Warranties</w:t>
            </w:r>
          </w:p>
        </w:tc>
        <w:tc>
          <w:tcPr>
            <w:tcW w:w="24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240" w:type="dxa"/>
            <w:vAlign w:val="bottom"/>
            <w:gridSpan w:val="28"/>
          </w:tcPr>
          <w:p>
            <w:pPr>
              <w:spacing w:after="0"/>
              <w:rPr>
                <w:sz w:val="20"/>
                <w:szCs w:val="20"/>
                <w:color w:val="auto"/>
              </w:rPr>
            </w:pPr>
            <w:r>
              <w:rPr>
                <w:rFonts w:ascii="Times New Roman" w:cs="Times New Roman" w:eastAsia="Times New Roman" w:hAnsi="Times New Roman"/>
                <w:sz w:val="22"/>
                <w:szCs w:val="22"/>
                <w:color w:val="auto"/>
              </w:rPr>
              <w:t>ARTICLE 3  REPRESENTATIONS AND WARRANTIES OF BUYER 26</w:t>
            </w:r>
          </w:p>
        </w:tc>
        <w:tc>
          <w:tcPr>
            <w:tcW w:w="0" w:type="dxa"/>
            <w:vAlign w:val="bottom"/>
          </w:tcPr>
          <w:p>
            <w:pPr>
              <w:spacing w:after="0"/>
              <w:rPr>
                <w:sz w:val="1"/>
                <w:szCs w:val="1"/>
                <w:color w:val="auto"/>
              </w:rPr>
            </w:pPr>
          </w:p>
        </w:tc>
      </w:tr>
      <w:tr>
        <w:trPr>
          <w:trHeight w:val="439"/>
        </w:trPr>
        <w:tc>
          <w:tcPr>
            <w:tcW w:w="920" w:type="dxa"/>
            <w:vAlign w:val="bottom"/>
            <w:tcBorders>
              <w:top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Section 3.1</w:t>
            </w:r>
          </w:p>
        </w:tc>
        <w:tc>
          <w:tcPr>
            <w:tcW w:w="1400" w:type="dxa"/>
            <w:vAlign w:val="bottom"/>
            <w:tcBorders>
              <w:top w:val="single" w:sz="8" w:color="auto"/>
              <w:bottom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Organization</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26</w:t>
            </w: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color w:val="auto"/>
                <w:w w:val="97"/>
              </w:rPr>
              <w:t>i</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4"/>
        </w:trPr>
        <w:tc>
          <w:tcPr>
            <w:tcW w:w="9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53"/>
        </w:trPr>
        <w:tc>
          <w:tcPr>
            <w:tcW w:w="920" w:type="dxa"/>
            <w:vAlign w:val="bottom"/>
          </w:tcPr>
          <w:p>
            <w:pPr>
              <w:spacing w:after="0"/>
              <w:rPr>
                <w:sz w:val="22"/>
                <w:szCs w:val="22"/>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Section 3.2</w:t>
            </w:r>
          </w:p>
        </w:tc>
        <w:tc>
          <w:tcPr>
            <w:tcW w:w="3940" w:type="dxa"/>
            <w:vAlign w:val="bottom"/>
            <w:tcBorders>
              <w:bottom w:val="single" w:sz="8" w:color="auto"/>
            </w:tcBorders>
            <w:gridSpan w:val="15"/>
          </w:tcPr>
          <w:p>
            <w:pPr>
              <w:ind w:left="100"/>
              <w:spacing w:after="0"/>
              <w:rPr>
                <w:sz w:val="20"/>
                <w:szCs w:val="20"/>
                <w:color w:val="auto"/>
              </w:rPr>
            </w:pPr>
            <w:r>
              <w:rPr>
                <w:rFonts w:ascii="Times New Roman" w:cs="Times New Roman" w:eastAsia="Times New Roman" w:hAnsi="Times New Roman"/>
                <w:sz w:val="22"/>
                <w:szCs w:val="22"/>
                <w:color w:val="auto"/>
                <w:w w:val="99"/>
              </w:rPr>
              <w:t>Corporate and Governmental Authorization</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3.3</w:t>
            </w:r>
          </w:p>
        </w:tc>
        <w:tc>
          <w:tcPr>
            <w:tcW w:w="2080" w:type="dxa"/>
            <w:vAlign w:val="bottom"/>
            <w:tcBorders>
              <w:bottom w:val="single" w:sz="8" w:color="auto"/>
            </w:tcBorders>
            <w:gridSpan w:val="11"/>
          </w:tcPr>
          <w:p>
            <w:pPr>
              <w:ind w:left="100"/>
              <w:spacing w:after="0" w:line="223" w:lineRule="exact"/>
              <w:rPr>
                <w:sz w:val="20"/>
                <w:szCs w:val="20"/>
                <w:color w:val="auto"/>
              </w:rPr>
            </w:pPr>
            <w:r>
              <w:rPr>
                <w:rFonts w:ascii="Times New Roman" w:cs="Times New Roman" w:eastAsia="Times New Roman" w:hAnsi="Times New Roman"/>
                <w:sz w:val="22"/>
                <w:szCs w:val="22"/>
                <w:color w:val="auto"/>
                <w:w w:val="98"/>
              </w:rPr>
              <w:t>Non-Contravention 27</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3.4</w:t>
            </w:r>
          </w:p>
        </w:tc>
        <w:tc>
          <w:tcPr>
            <w:tcW w:w="2080" w:type="dxa"/>
            <w:vAlign w:val="bottom"/>
            <w:tcBorders>
              <w:bottom w:val="single" w:sz="8" w:color="auto"/>
            </w:tcBorders>
            <w:gridSpan w:val="11"/>
          </w:tcPr>
          <w:p>
            <w:pPr>
              <w:ind w:left="100"/>
              <w:spacing w:after="0" w:line="223" w:lineRule="exact"/>
              <w:rPr>
                <w:sz w:val="20"/>
                <w:szCs w:val="20"/>
                <w:color w:val="auto"/>
              </w:rPr>
            </w:pPr>
            <w:r>
              <w:rPr>
                <w:rFonts w:ascii="Times New Roman" w:cs="Times New Roman" w:eastAsia="Times New Roman" w:hAnsi="Times New Roman"/>
                <w:sz w:val="22"/>
                <w:szCs w:val="22"/>
                <w:color w:val="auto"/>
              </w:rPr>
              <w:t>Sufficiency of Funds</w:t>
            </w:r>
          </w:p>
        </w:tc>
        <w:tc>
          <w:tcPr>
            <w:tcW w:w="400" w:type="dxa"/>
            <w:vAlign w:val="bottom"/>
            <w:tcBorders>
              <w:bottom w:val="single" w:sz="8" w:color="auto"/>
            </w:tcBorders>
            <w:vMerge w:val="continue"/>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3.5</w:t>
            </w:r>
          </w:p>
        </w:tc>
        <w:tc>
          <w:tcPr>
            <w:tcW w:w="1320" w:type="dxa"/>
            <w:vAlign w:val="bottom"/>
            <w:gridSpan w:val="5"/>
          </w:tcPr>
          <w:p>
            <w:pPr>
              <w:ind w:left="100"/>
              <w:spacing w:after="0" w:line="223" w:lineRule="exact"/>
              <w:rPr>
                <w:sz w:val="20"/>
                <w:szCs w:val="20"/>
                <w:color w:val="auto"/>
              </w:rPr>
            </w:pPr>
            <w:r>
              <w:rPr>
                <w:rFonts w:ascii="Times New Roman" w:cs="Times New Roman" w:eastAsia="Times New Roman" w:hAnsi="Times New Roman"/>
                <w:sz w:val="22"/>
                <w:szCs w:val="22"/>
                <w:color w:val="auto"/>
              </w:rPr>
              <w:t>Solvency 27</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top w:val="single" w:sz="8" w:color="auto"/>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3.6</w:t>
            </w:r>
          </w:p>
        </w:tc>
        <w:tc>
          <w:tcPr>
            <w:tcW w:w="1180" w:type="dxa"/>
            <w:vAlign w:val="bottom"/>
            <w:tcBorders>
              <w:top w:val="single" w:sz="8" w:color="auto"/>
              <w:bottom w:val="single" w:sz="8" w:color="auto"/>
            </w:tcBorders>
            <w:gridSpan w:val="4"/>
          </w:tcPr>
          <w:p>
            <w:pPr>
              <w:ind w:left="100"/>
              <w:spacing w:after="0" w:line="223" w:lineRule="exact"/>
              <w:rPr>
                <w:sz w:val="20"/>
                <w:szCs w:val="20"/>
                <w:color w:val="auto"/>
              </w:rPr>
            </w:pPr>
            <w:r>
              <w:rPr>
                <w:rFonts w:ascii="Times New Roman" w:cs="Times New Roman" w:eastAsia="Times New Roman" w:hAnsi="Times New Roman"/>
                <w:sz w:val="22"/>
                <w:szCs w:val="22"/>
                <w:color w:val="auto"/>
              </w:rPr>
              <w:t>Litigation</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3.7</w:t>
            </w:r>
          </w:p>
        </w:tc>
        <w:tc>
          <w:tcPr>
            <w:tcW w:w="1320" w:type="dxa"/>
            <w:vAlign w:val="bottom"/>
            <w:tcBorders>
              <w:bottom w:val="single" w:sz="8" w:color="auto"/>
            </w:tcBorders>
            <w:gridSpan w:val="5"/>
          </w:tcPr>
          <w:p>
            <w:pPr>
              <w:ind w:left="100"/>
              <w:spacing w:after="0" w:line="223" w:lineRule="exact"/>
              <w:rPr>
                <w:sz w:val="20"/>
                <w:szCs w:val="20"/>
                <w:color w:val="auto"/>
              </w:rPr>
            </w:pPr>
            <w:r>
              <w:rPr>
                <w:rFonts w:ascii="Times New Roman" w:cs="Times New Roman" w:eastAsia="Times New Roman" w:hAnsi="Times New Roman"/>
                <w:sz w:val="22"/>
                <w:szCs w:val="22"/>
                <w:color w:val="auto"/>
              </w:rPr>
              <w:t>Finders’ Fees</w:t>
            </w:r>
          </w:p>
        </w:tc>
        <w:tc>
          <w:tcPr>
            <w:tcW w:w="300" w:type="dxa"/>
            <w:vAlign w:val="bottom"/>
            <w:tcBorders>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27</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ARTICLE 4</w:t>
            </w:r>
          </w:p>
        </w:tc>
        <w:tc>
          <w:tcPr>
            <w:tcW w:w="254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22"/>
                <w:szCs w:val="22"/>
                <w:color w:val="auto"/>
              </w:rPr>
              <w:t>CERTAIN COVENANTS</w:t>
            </w:r>
          </w:p>
        </w:tc>
        <w:tc>
          <w:tcPr>
            <w:tcW w:w="38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22"/>
                <w:szCs w:val="22"/>
                <w:color w:val="auto"/>
                <w:w w:val="99"/>
              </w:rPr>
              <w:t>28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Section 4.1</w:t>
            </w:r>
          </w:p>
        </w:tc>
        <w:tc>
          <w:tcPr>
            <w:tcW w:w="3940" w:type="dxa"/>
            <w:vAlign w:val="bottom"/>
            <w:tcBorders>
              <w:bottom w:val="single" w:sz="8" w:color="auto"/>
            </w:tcBorders>
            <w:gridSpan w:val="15"/>
          </w:tcPr>
          <w:p>
            <w:pPr>
              <w:ind w:left="100"/>
              <w:spacing w:after="0"/>
              <w:rPr>
                <w:sz w:val="20"/>
                <w:szCs w:val="20"/>
                <w:color w:val="auto"/>
              </w:rPr>
            </w:pPr>
            <w:r>
              <w:rPr>
                <w:rFonts w:ascii="Times New Roman" w:cs="Times New Roman" w:eastAsia="Times New Roman" w:hAnsi="Times New Roman"/>
                <w:sz w:val="22"/>
                <w:szCs w:val="22"/>
                <w:color w:val="auto"/>
              </w:rPr>
              <w:t>Access to Information; Books and Records</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4.2</w:t>
            </w:r>
          </w:p>
        </w:tc>
        <w:tc>
          <w:tcPr>
            <w:tcW w:w="1640" w:type="dxa"/>
            <w:vAlign w:val="bottom"/>
            <w:tcBorders>
              <w:bottom w:val="single" w:sz="8" w:color="auto"/>
            </w:tcBorders>
            <w:gridSpan w:val="8"/>
          </w:tcPr>
          <w:p>
            <w:pPr>
              <w:ind w:left="100"/>
              <w:spacing w:after="0" w:line="223" w:lineRule="exact"/>
              <w:rPr>
                <w:sz w:val="20"/>
                <w:szCs w:val="20"/>
                <w:color w:val="auto"/>
              </w:rPr>
            </w:pPr>
            <w:r>
              <w:rPr>
                <w:rFonts w:ascii="Times New Roman" w:cs="Times New Roman" w:eastAsia="Times New Roman" w:hAnsi="Times New Roman"/>
                <w:sz w:val="22"/>
                <w:szCs w:val="22"/>
                <w:color w:val="auto"/>
              </w:rPr>
              <w:t>Confidentiality</w:t>
            </w:r>
          </w:p>
        </w:tc>
        <w:tc>
          <w:tcPr>
            <w:tcW w:w="440" w:type="dxa"/>
            <w:vAlign w:val="bottom"/>
            <w:tcBorders>
              <w:bottom w:val="single" w:sz="8" w:color="auto"/>
            </w:tcBorders>
            <w:gridSpan w:val="3"/>
          </w:tcPr>
          <w:p>
            <w:pPr>
              <w:jc w:val="center"/>
              <w:ind w:left="72"/>
              <w:spacing w:after="0" w:line="223" w:lineRule="exact"/>
              <w:rPr>
                <w:sz w:val="20"/>
                <w:szCs w:val="20"/>
                <w:color w:val="auto"/>
              </w:rPr>
            </w:pPr>
            <w:r>
              <w:rPr>
                <w:rFonts w:ascii="Times New Roman" w:cs="Times New Roman" w:eastAsia="Times New Roman" w:hAnsi="Times New Roman"/>
                <w:sz w:val="22"/>
                <w:szCs w:val="22"/>
                <w:color w:val="auto"/>
                <w:w w:val="99"/>
              </w:rPr>
              <w:t>28</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4.3</w:t>
            </w:r>
          </w:p>
        </w:tc>
        <w:tc>
          <w:tcPr>
            <w:tcW w:w="2080" w:type="dxa"/>
            <w:vAlign w:val="bottom"/>
            <w:tcBorders>
              <w:bottom w:val="single" w:sz="8" w:color="auto"/>
            </w:tcBorders>
            <w:gridSpan w:val="11"/>
          </w:tcPr>
          <w:p>
            <w:pPr>
              <w:ind w:left="100"/>
              <w:spacing w:after="0" w:line="223" w:lineRule="exact"/>
              <w:rPr>
                <w:sz w:val="20"/>
                <w:szCs w:val="20"/>
                <w:color w:val="auto"/>
              </w:rPr>
            </w:pPr>
            <w:r>
              <w:rPr>
                <w:rFonts w:ascii="Times New Roman" w:cs="Times New Roman" w:eastAsia="Times New Roman" w:hAnsi="Times New Roman"/>
                <w:sz w:val="22"/>
                <w:szCs w:val="22"/>
                <w:color w:val="auto"/>
                <w:w w:val="99"/>
              </w:rPr>
              <w:t>Public Announcement</w:t>
            </w:r>
          </w:p>
        </w:tc>
        <w:tc>
          <w:tcPr>
            <w:tcW w:w="400" w:type="dxa"/>
            <w:vAlign w:val="bottom"/>
            <w:tcBorders>
              <w:bottom w:val="single" w:sz="8" w:color="auto"/>
            </w:tcBorders>
            <w:vMerge w:val="continue"/>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4.4</w:t>
            </w:r>
          </w:p>
        </w:tc>
        <w:tc>
          <w:tcPr>
            <w:tcW w:w="1640" w:type="dxa"/>
            <w:vAlign w:val="bottom"/>
            <w:tcBorders>
              <w:bottom w:val="single" w:sz="8" w:color="auto"/>
            </w:tcBorders>
            <w:gridSpan w:val="8"/>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Contracts</w:t>
            </w:r>
          </w:p>
        </w:tc>
        <w:tc>
          <w:tcPr>
            <w:tcW w:w="440" w:type="dxa"/>
            <w:vAlign w:val="bottom"/>
            <w:tcBorders>
              <w:bottom w:val="single" w:sz="8" w:color="auto"/>
            </w:tcBorders>
            <w:gridSpan w:val="3"/>
          </w:tcPr>
          <w:p>
            <w:pPr>
              <w:jc w:val="center"/>
              <w:ind w:left="72"/>
              <w:spacing w:after="0" w:line="223" w:lineRule="exact"/>
              <w:rPr>
                <w:sz w:val="20"/>
                <w:szCs w:val="20"/>
                <w:color w:val="auto"/>
              </w:rPr>
            </w:pPr>
            <w:r>
              <w:rPr>
                <w:rFonts w:ascii="Times New Roman" w:cs="Times New Roman" w:eastAsia="Times New Roman" w:hAnsi="Times New Roman"/>
                <w:sz w:val="22"/>
                <w:szCs w:val="22"/>
                <w:color w:val="auto"/>
                <w:w w:val="99"/>
              </w:rPr>
              <w:t>30</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4.5</w:t>
            </w:r>
          </w:p>
        </w:tc>
        <w:tc>
          <w:tcPr>
            <w:tcW w:w="2080" w:type="dxa"/>
            <w:vAlign w:val="bottom"/>
            <w:tcBorders>
              <w:bottom w:val="single" w:sz="8" w:color="auto"/>
            </w:tcBorders>
            <w:gridSpan w:val="11"/>
          </w:tcPr>
          <w:p>
            <w:pPr>
              <w:ind w:left="100"/>
              <w:spacing w:after="0" w:line="223" w:lineRule="exact"/>
              <w:rPr>
                <w:sz w:val="20"/>
                <w:szCs w:val="20"/>
                <w:color w:val="auto"/>
              </w:rPr>
            </w:pPr>
            <w:r>
              <w:rPr>
                <w:rFonts w:ascii="Times New Roman" w:cs="Times New Roman" w:eastAsia="Times New Roman" w:hAnsi="Times New Roman"/>
                <w:sz w:val="22"/>
                <w:szCs w:val="22"/>
                <w:color w:val="auto"/>
                <w:w w:val="98"/>
              </w:rPr>
              <w:t>Further Assurances 31</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4.6</w:t>
            </w:r>
          </w:p>
        </w:tc>
        <w:tc>
          <w:tcPr>
            <w:tcW w:w="1320" w:type="dxa"/>
            <w:vAlign w:val="bottom"/>
            <w:tcBorders>
              <w:bottom w:val="single" w:sz="8" w:color="auto"/>
            </w:tcBorders>
            <w:gridSpan w:val="5"/>
          </w:tcPr>
          <w:p>
            <w:pPr>
              <w:ind w:left="100"/>
              <w:spacing w:after="0" w:line="223" w:lineRule="exact"/>
              <w:rPr>
                <w:sz w:val="20"/>
                <w:szCs w:val="20"/>
                <w:color w:val="auto"/>
              </w:rPr>
            </w:pPr>
            <w:r>
              <w:rPr>
                <w:rFonts w:ascii="Times New Roman" w:cs="Times New Roman" w:eastAsia="Times New Roman" w:hAnsi="Times New Roman"/>
                <w:sz w:val="22"/>
                <w:szCs w:val="22"/>
                <w:color w:val="auto"/>
              </w:rPr>
              <w:t>Insurance</w:t>
            </w:r>
          </w:p>
        </w:tc>
        <w:tc>
          <w:tcPr>
            <w:tcW w:w="320" w:type="dxa"/>
            <w:vAlign w:val="bottom"/>
            <w:tcBorders>
              <w:bottom w:val="single" w:sz="8" w:color="auto"/>
            </w:tcBorders>
            <w:gridSpan w:val="3"/>
          </w:tcPr>
          <w:p>
            <w:pPr>
              <w:jc w:val="right"/>
              <w:ind w:right="20"/>
              <w:spacing w:after="0" w:line="223" w:lineRule="exact"/>
              <w:rPr>
                <w:sz w:val="20"/>
                <w:szCs w:val="20"/>
                <w:color w:val="auto"/>
              </w:rPr>
            </w:pPr>
            <w:r>
              <w:rPr>
                <w:rFonts w:ascii="Times New Roman" w:cs="Times New Roman" w:eastAsia="Times New Roman" w:hAnsi="Times New Roman"/>
                <w:sz w:val="22"/>
                <w:szCs w:val="22"/>
                <w:color w:val="auto"/>
              </w:rPr>
              <w:t>32</w:t>
            </w:r>
          </w:p>
        </w:tc>
        <w:tc>
          <w:tcPr>
            <w:tcW w:w="440" w:type="dxa"/>
            <w:vAlign w:val="bottom"/>
            <w:gridSpan w:val="3"/>
            <w:vMerge w:val="restart"/>
          </w:tcPr>
          <w:p>
            <w:pPr>
              <w:jc w:val="center"/>
              <w:ind w:left="72"/>
              <w:spacing w:after="0"/>
              <w:rPr>
                <w:sz w:val="20"/>
                <w:szCs w:val="20"/>
                <w:color w:val="auto"/>
              </w:rPr>
            </w:pPr>
            <w:r>
              <w:rPr>
                <w:rFonts w:ascii="Times New Roman" w:cs="Times New Roman" w:eastAsia="Times New Roman" w:hAnsi="Times New Roman"/>
                <w:sz w:val="22"/>
                <w:szCs w:val="22"/>
                <w:color w:val="auto"/>
                <w:w w:val="99"/>
              </w:rPr>
              <w:t>32</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4.7</w:t>
            </w:r>
          </w:p>
        </w:tc>
        <w:tc>
          <w:tcPr>
            <w:tcW w:w="1640" w:type="dxa"/>
            <w:vAlign w:val="bottom"/>
            <w:tcBorders>
              <w:bottom w:val="single" w:sz="8" w:color="auto"/>
            </w:tcBorders>
            <w:gridSpan w:val="8"/>
          </w:tcPr>
          <w:p>
            <w:pPr>
              <w:ind w:left="100"/>
              <w:spacing w:after="0" w:line="223" w:lineRule="exact"/>
              <w:rPr>
                <w:sz w:val="20"/>
                <w:szCs w:val="20"/>
                <w:color w:val="auto"/>
              </w:rPr>
            </w:pPr>
            <w:r>
              <w:rPr>
                <w:rFonts w:ascii="Times New Roman" w:cs="Times New Roman" w:eastAsia="Times New Roman" w:hAnsi="Times New Roman"/>
                <w:sz w:val="22"/>
                <w:szCs w:val="22"/>
                <w:color w:val="auto"/>
              </w:rPr>
              <w:t>Wrong Pockets</w:t>
            </w:r>
          </w:p>
        </w:tc>
        <w:tc>
          <w:tcPr>
            <w:tcW w:w="440" w:type="dxa"/>
            <w:vAlign w:val="bottom"/>
            <w:tcBorders>
              <w:bottom w:val="single" w:sz="8" w:color="auto"/>
            </w:tcBorders>
            <w:gridSpan w:val="3"/>
            <w:vMerge w:val="continue"/>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4.8</w:t>
            </w:r>
          </w:p>
        </w:tc>
        <w:tc>
          <w:tcPr>
            <w:tcW w:w="3940" w:type="dxa"/>
            <w:vAlign w:val="bottom"/>
            <w:gridSpan w:val="15"/>
          </w:tcPr>
          <w:p>
            <w:pPr>
              <w:ind w:left="100"/>
              <w:spacing w:after="0" w:line="223" w:lineRule="exact"/>
              <w:rPr>
                <w:sz w:val="20"/>
                <w:szCs w:val="20"/>
                <w:color w:val="auto"/>
              </w:rPr>
            </w:pPr>
            <w:r>
              <w:rPr>
                <w:rFonts w:ascii="Times New Roman" w:cs="Times New Roman" w:eastAsia="Times New Roman" w:hAnsi="Times New Roman"/>
                <w:sz w:val="22"/>
                <w:szCs w:val="22"/>
                <w:color w:val="auto"/>
              </w:rPr>
              <w:t>Transfer Plan; Transition Assistance   32</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top w:val="single" w:sz="8" w:color="auto"/>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4.9</w:t>
            </w:r>
          </w:p>
        </w:tc>
        <w:tc>
          <w:tcPr>
            <w:tcW w:w="880" w:type="dxa"/>
            <w:vAlign w:val="bottom"/>
            <w:tcBorders>
              <w:top w:val="single" w:sz="8" w:color="auto"/>
              <w:bottom w:val="single" w:sz="8" w:color="auto"/>
            </w:tcBorders>
            <w:gridSpan w:val="2"/>
          </w:tcPr>
          <w:p>
            <w:pPr>
              <w:ind w:left="100"/>
              <w:spacing w:after="0" w:line="223" w:lineRule="exact"/>
              <w:rPr>
                <w:sz w:val="20"/>
                <w:szCs w:val="20"/>
                <w:color w:val="auto"/>
              </w:rPr>
            </w:pPr>
            <w:r>
              <w:rPr>
                <w:rFonts w:ascii="Times New Roman" w:cs="Times New Roman" w:eastAsia="Times New Roman" w:hAnsi="Times New Roman"/>
                <w:sz w:val="22"/>
                <w:szCs w:val="22"/>
                <w:color w:val="auto"/>
              </w:rPr>
              <w:t>License</w:t>
            </w:r>
          </w:p>
        </w:tc>
        <w:tc>
          <w:tcPr>
            <w:tcW w:w="300" w:type="dxa"/>
            <w:vAlign w:val="bottom"/>
            <w:tcBorders>
              <w:top w:val="single" w:sz="8" w:color="auto"/>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33</w:t>
            </w: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4.10</w:t>
            </w:r>
          </w:p>
        </w:tc>
        <w:tc>
          <w:tcPr>
            <w:tcW w:w="76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w w:val="99"/>
              </w:rPr>
              <w:t>[**] 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4.11</w:t>
            </w:r>
          </w:p>
        </w:tc>
        <w:tc>
          <w:tcPr>
            <w:tcW w:w="76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w w:val="74"/>
              </w:rPr>
              <w:t>Payments</w:t>
            </w:r>
          </w:p>
        </w:tc>
        <w:tc>
          <w:tcPr>
            <w:tcW w:w="3460" w:type="dxa"/>
            <w:vAlign w:val="bottom"/>
            <w:tcBorders>
              <w:bottom w:val="single" w:sz="8" w:color="auto"/>
            </w:tcBorders>
            <w:gridSpan w:val="15"/>
          </w:tcPr>
          <w:p>
            <w:pPr>
              <w:jc w:val="right"/>
              <w:spacing w:after="0" w:line="223" w:lineRule="exact"/>
              <w:rPr>
                <w:sz w:val="20"/>
                <w:szCs w:val="20"/>
                <w:color w:val="auto"/>
              </w:rPr>
            </w:pPr>
            <w:r>
              <w:rPr>
                <w:rFonts w:ascii="Times New Roman" w:cs="Times New Roman" w:eastAsia="Times New Roman" w:hAnsi="Times New Roman"/>
                <w:sz w:val="22"/>
                <w:szCs w:val="22"/>
                <w:color w:val="auto"/>
              </w:rPr>
              <w:t>from Third Parties; Correspondence</w:t>
            </w:r>
          </w:p>
        </w:tc>
        <w:tc>
          <w:tcPr>
            <w:tcW w:w="420" w:type="dxa"/>
            <w:vAlign w:val="bottom"/>
            <w:tcBorders>
              <w:bottom w:val="single" w:sz="8" w:color="auto"/>
            </w:tcBorders>
            <w:vMerge w:val="continue"/>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4.12</w:t>
            </w:r>
          </w:p>
        </w:tc>
        <w:tc>
          <w:tcPr>
            <w:tcW w:w="2080" w:type="dxa"/>
            <w:vAlign w:val="bottom"/>
            <w:gridSpan w:val="11"/>
          </w:tcPr>
          <w:p>
            <w:pPr>
              <w:ind w:left="100"/>
              <w:spacing w:after="0" w:line="223" w:lineRule="exact"/>
              <w:rPr>
                <w:sz w:val="20"/>
                <w:szCs w:val="20"/>
                <w:color w:val="auto"/>
              </w:rPr>
            </w:pPr>
            <w:r>
              <w:rPr>
                <w:rFonts w:ascii="Times New Roman" w:cs="Times New Roman" w:eastAsia="Times New Roman" w:hAnsi="Times New Roman"/>
                <w:sz w:val="22"/>
                <w:szCs w:val="22"/>
                <w:color w:val="auto"/>
                <w:w w:val="99"/>
              </w:rPr>
              <w:t>Use of Trademarks 34</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top w:val="single" w:sz="8" w:color="auto"/>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4.13</w:t>
            </w:r>
          </w:p>
        </w:tc>
        <w:tc>
          <w:tcPr>
            <w:tcW w:w="2060" w:type="dxa"/>
            <w:vAlign w:val="bottom"/>
            <w:tcBorders>
              <w:top w:val="single" w:sz="8" w:color="auto"/>
              <w:bottom w:val="single" w:sz="8" w:color="auto"/>
            </w:tcBorders>
            <w:gridSpan w:val="10"/>
          </w:tcPr>
          <w:p>
            <w:pPr>
              <w:ind w:left="100"/>
              <w:spacing w:after="0" w:line="223" w:lineRule="exact"/>
              <w:rPr>
                <w:sz w:val="20"/>
                <w:szCs w:val="20"/>
                <w:color w:val="auto"/>
              </w:rPr>
            </w:pPr>
            <w:r>
              <w:rPr>
                <w:rFonts w:ascii="Times New Roman" w:cs="Times New Roman" w:eastAsia="Times New Roman" w:hAnsi="Times New Roman"/>
                <w:sz w:val="22"/>
                <w:szCs w:val="22"/>
                <w:color w:val="auto"/>
                <w:w w:val="89"/>
              </w:rPr>
              <w:t>Mutual Non-Solicitation</w:t>
            </w:r>
          </w:p>
        </w:tc>
        <w:tc>
          <w:tcPr>
            <w:tcW w:w="420" w:type="dxa"/>
            <w:vAlign w:val="bottom"/>
            <w:tcBorders>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34</w:t>
            </w: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4.14</w:t>
            </w:r>
          </w:p>
        </w:tc>
        <w:tc>
          <w:tcPr>
            <w:tcW w:w="1320" w:type="dxa"/>
            <w:vAlign w:val="bottom"/>
            <w:tcBorders>
              <w:bottom w:val="single" w:sz="8" w:color="auto"/>
            </w:tcBorders>
            <w:gridSpan w:val="5"/>
          </w:tcPr>
          <w:p>
            <w:pPr>
              <w:ind w:left="100"/>
              <w:spacing w:after="0" w:line="223" w:lineRule="exact"/>
              <w:rPr>
                <w:sz w:val="20"/>
                <w:szCs w:val="20"/>
                <w:color w:val="auto"/>
              </w:rPr>
            </w:pPr>
            <w:r>
              <w:rPr>
                <w:rFonts w:ascii="Times New Roman" w:cs="Times New Roman" w:eastAsia="Times New Roman" w:hAnsi="Times New Roman"/>
                <w:sz w:val="22"/>
                <w:szCs w:val="22"/>
                <w:color w:val="auto"/>
              </w:rPr>
              <w:t>Competition</w:t>
            </w:r>
          </w:p>
        </w:tc>
        <w:tc>
          <w:tcPr>
            <w:tcW w:w="320" w:type="dxa"/>
            <w:vAlign w:val="bottom"/>
            <w:tcBorders>
              <w:bottom w:val="single" w:sz="8" w:color="auto"/>
            </w:tcBorders>
            <w:gridSpan w:val="3"/>
          </w:tcPr>
          <w:p>
            <w:pPr>
              <w:jc w:val="right"/>
              <w:ind w:right="20"/>
              <w:spacing w:after="0" w:line="223" w:lineRule="exact"/>
              <w:rPr>
                <w:sz w:val="20"/>
                <w:szCs w:val="20"/>
                <w:color w:val="auto"/>
              </w:rPr>
            </w:pPr>
            <w:r>
              <w:rPr>
                <w:rFonts w:ascii="Times New Roman" w:cs="Times New Roman" w:eastAsia="Times New Roman" w:hAnsi="Times New Roman"/>
                <w:sz w:val="22"/>
                <w:szCs w:val="22"/>
                <w:color w:val="auto"/>
              </w:rPr>
              <w:t>34</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4.15</w:t>
            </w:r>
          </w:p>
        </w:tc>
        <w:tc>
          <w:tcPr>
            <w:tcW w:w="1640" w:type="dxa"/>
            <w:vAlign w:val="bottom"/>
            <w:tcBorders>
              <w:bottom w:val="single" w:sz="8" w:color="auto"/>
            </w:tcBorders>
            <w:gridSpan w:val="8"/>
          </w:tcPr>
          <w:p>
            <w:pPr>
              <w:ind w:left="100"/>
              <w:spacing w:after="0" w:line="223" w:lineRule="exact"/>
              <w:rPr>
                <w:sz w:val="20"/>
                <w:szCs w:val="20"/>
                <w:color w:val="auto"/>
              </w:rPr>
            </w:pPr>
            <w:r>
              <w:rPr>
                <w:rFonts w:ascii="Times New Roman" w:cs="Times New Roman" w:eastAsia="Times New Roman" w:hAnsi="Times New Roman"/>
                <w:sz w:val="22"/>
                <w:szCs w:val="22"/>
                <w:color w:val="auto"/>
                <w:w w:val="93"/>
              </w:rPr>
              <w:t>Transferred Patent</w:t>
            </w:r>
          </w:p>
        </w:tc>
        <w:tc>
          <w:tcPr>
            <w:tcW w:w="2580" w:type="dxa"/>
            <w:vAlign w:val="bottom"/>
            <w:tcBorders>
              <w:bottom w:val="single" w:sz="8" w:color="auto"/>
            </w:tcBorders>
            <w:gridSpan w:val="8"/>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Rights; Negative Covenant</w:t>
            </w:r>
          </w:p>
        </w:tc>
        <w:tc>
          <w:tcPr>
            <w:tcW w:w="420" w:type="dxa"/>
            <w:vAlign w:val="bottom"/>
            <w:tcBorders>
              <w:bottom w:val="single" w:sz="8" w:color="auto"/>
            </w:tcBorders>
            <w:vMerge w:val="continue"/>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4.16</w:t>
            </w:r>
          </w:p>
        </w:tc>
        <w:tc>
          <w:tcPr>
            <w:tcW w:w="5940" w:type="dxa"/>
            <w:vAlign w:val="bottom"/>
            <w:tcBorders>
              <w:bottom w:val="single" w:sz="8" w:color="auto"/>
            </w:tcBorders>
            <w:gridSpan w:val="18"/>
          </w:tcPr>
          <w:p>
            <w:pPr>
              <w:ind w:left="100"/>
              <w:spacing w:after="0" w:line="223" w:lineRule="exact"/>
              <w:rPr>
                <w:sz w:val="20"/>
                <w:szCs w:val="20"/>
                <w:color w:val="auto"/>
              </w:rPr>
            </w:pPr>
            <w:r>
              <w:rPr>
                <w:rFonts w:ascii="Times New Roman" w:cs="Times New Roman" w:eastAsia="Times New Roman" w:hAnsi="Times New Roman"/>
                <w:sz w:val="22"/>
                <w:szCs w:val="22"/>
                <w:color w:val="auto"/>
                <w:w w:val="99"/>
              </w:rPr>
              <w:t>Maintenance and Enforcement of the Transferred Patent Rights 36</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4.17</w:t>
            </w:r>
          </w:p>
        </w:tc>
        <w:tc>
          <w:tcPr>
            <w:tcW w:w="2080" w:type="dxa"/>
            <w:vAlign w:val="bottom"/>
            <w:tcBorders>
              <w:bottom w:val="single" w:sz="8" w:color="auto"/>
            </w:tcBorders>
            <w:gridSpan w:val="11"/>
          </w:tcPr>
          <w:p>
            <w:pPr>
              <w:ind w:left="100"/>
              <w:spacing w:after="0" w:line="223" w:lineRule="exact"/>
              <w:rPr>
                <w:sz w:val="20"/>
                <w:szCs w:val="20"/>
                <w:color w:val="auto"/>
              </w:rPr>
            </w:pPr>
            <w:r>
              <w:rPr>
                <w:rFonts w:ascii="Times New Roman" w:cs="Times New Roman" w:eastAsia="Times New Roman" w:hAnsi="Times New Roman"/>
                <w:sz w:val="22"/>
                <w:szCs w:val="22"/>
                <w:color w:val="auto"/>
              </w:rPr>
              <w:t>Transferred Materials</w:t>
            </w:r>
          </w:p>
        </w:tc>
        <w:tc>
          <w:tcPr>
            <w:tcW w:w="4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36</w:t>
            </w: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ARTICLE 5</w:t>
            </w:r>
          </w:p>
        </w:tc>
        <w:tc>
          <w:tcPr>
            <w:tcW w:w="17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TAX MATTERS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Section 5.1</w:t>
            </w:r>
          </w:p>
        </w:tc>
        <w:tc>
          <w:tcPr>
            <w:tcW w:w="164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22"/>
                <w:szCs w:val="22"/>
                <w:color w:val="auto"/>
              </w:rPr>
              <w:t>Tax Allocation</w:t>
            </w:r>
          </w:p>
        </w:tc>
        <w:tc>
          <w:tcPr>
            <w:tcW w:w="420" w:type="dxa"/>
            <w:vAlign w:val="bottom"/>
            <w:tcBorders>
              <w:bottom w:val="single" w:sz="8" w:color="auto"/>
            </w:tcBorders>
            <w:gridSpan w:val="2"/>
          </w:tcPr>
          <w:p>
            <w:pPr>
              <w:jc w:val="center"/>
              <w:ind w:left="92"/>
              <w:spacing w:after="0"/>
              <w:rPr>
                <w:sz w:val="20"/>
                <w:szCs w:val="20"/>
                <w:color w:val="auto"/>
              </w:rPr>
            </w:pPr>
            <w:r>
              <w:rPr>
                <w:rFonts w:ascii="Times New Roman" w:cs="Times New Roman" w:eastAsia="Times New Roman" w:hAnsi="Times New Roman"/>
                <w:sz w:val="22"/>
                <w:szCs w:val="22"/>
                <w:color w:val="auto"/>
                <w:w w:val="99"/>
              </w:rPr>
              <w:t>36</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5.2</w:t>
            </w:r>
          </w:p>
        </w:tc>
        <w:tc>
          <w:tcPr>
            <w:tcW w:w="1320" w:type="dxa"/>
            <w:vAlign w:val="bottom"/>
            <w:tcBorders>
              <w:bottom w:val="single" w:sz="8" w:color="auto"/>
            </w:tcBorders>
            <w:gridSpan w:val="5"/>
          </w:tcPr>
          <w:p>
            <w:pPr>
              <w:ind w:left="100"/>
              <w:spacing w:after="0" w:line="223" w:lineRule="exact"/>
              <w:rPr>
                <w:sz w:val="20"/>
                <w:szCs w:val="20"/>
                <w:color w:val="auto"/>
              </w:rPr>
            </w:pPr>
            <w:r>
              <w:rPr>
                <w:rFonts w:ascii="Times New Roman" w:cs="Times New Roman" w:eastAsia="Times New Roman" w:hAnsi="Times New Roman"/>
                <w:sz w:val="22"/>
                <w:szCs w:val="22"/>
                <w:color w:val="auto"/>
              </w:rPr>
              <w:t>Cooperation</w:t>
            </w:r>
          </w:p>
        </w:tc>
        <w:tc>
          <w:tcPr>
            <w:tcW w:w="320" w:type="dxa"/>
            <w:vAlign w:val="bottom"/>
            <w:tcBorders>
              <w:bottom w:val="single" w:sz="8" w:color="auto"/>
            </w:tcBorders>
            <w:gridSpan w:val="3"/>
          </w:tcPr>
          <w:p>
            <w:pPr>
              <w:jc w:val="right"/>
              <w:ind w:right="20"/>
              <w:spacing w:after="0" w:line="223" w:lineRule="exact"/>
              <w:rPr>
                <w:sz w:val="20"/>
                <w:szCs w:val="20"/>
                <w:color w:val="auto"/>
              </w:rPr>
            </w:pPr>
            <w:r>
              <w:rPr>
                <w:rFonts w:ascii="Times New Roman" w:cs="Times New Roman" w:eastAsia="Times New Roman" w:hAnsi="Times New Roman"/>
                <w:sz w:val="22"/>
                <w:szCs w:val="22"/>
                <w:color w:val="auto"/>
              </w:rPr>
              <w:t>37</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5.3</w:t>
            </w:r>
          </w:p>
        </w:tc>
        <w:tc>
          <w:tcPr>
            <w:tcW w:w="2480" w:type="dxa"/>
            <w:vAlign w:val="bottom"/>
            <w:tcBorders>
              <w:bottom w:val="single" w:sz="8" w:color="auto"/>
            </w:tcBorders>
            <w:gridSpan w:val="12"/>
          </w:tcPr>
          <w:p>
            <w:pPr>
              <w:ind w:left="100"/>
              <w:spacing w:after="0" w:line="223" w:lineRule="exact"/>
              <w:rPr>
                <w:sz w:val="20"/>
                <w:szCs w:val="20"/>
                <w:color w:val="auto"/>
              </w:rPr>
            </w:pPr>
            <w:r>
              <w:rPr>
                <w:rFonts w:ascii="Times New Roman" w:cs="Times New Roman" w:eastAsia="Times New Roman" w:hAnsi="Times New Roman"/>
                <w:sz w:val="22"/>
                <w:szCs w:val="22"/>
                <w:color w:val="auto"/>
              </w:rPr>
              <w:t>Contingent Consideration</w:t>
            </w:r>
          </w:p>
        </w:tc>
        <w:tc>
          <w:tcPr>
            <w:tcW w:w="440" w:type="dxa"/>
            <w:vAlign w:val="bottom"/>
            <w:tcBorders>
              <w:bottom w:val="single" w:sz="8" w:color="auto"/>
            </w:tcBorders>
            <w:vMerge w:val="continue"/>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6</w:t>
            </w:r>
          </w:p>
        </w:tc>
        <w:tc>
          <w:tcPr>
            <w:tcW w:w="222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INDEMNIFICATION</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37</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tcBorders>
              <w:top w:val="single" w:sz="8" w:color="auto"/>
            </w:tcBorders>
          </w:tcPr>
          <w:p>
            <w:pPr>
              <w:spacing w:after="0"/>
              <w:rPr>
                <w:sz w:val="24"/>
                <w:szCs w:val="24"/>
                <w:color w:val="auto"/>
              </w:rPr>
            </w:pPr>
          </w:p>
        </w:tc>
        <w:tc>
          <w:tcPr>
            <w:tcW w:w="1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Section 6.1</w:t>
            </w:r>
          </w:p>
        </w:tc>
        <w:tc>
          <w:tcPr>
            <w:tcW w:w="88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Survival</w:t>
            </w: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6.2</w:t>
            </w:r>
          </w:p>
        </w:tc>
        <w:tc>
          <w:tcPr>
            <w:tcW w:w="1180" w:type="dxa"/>
            <w:vAlign w:val="bottom"/>
            <w:tcBorders>
              <w:bottom w:val="single" w:sz="8" w:color="auto"/>
            </w:tcBorders>
            <w:gridSpan w:val="4"/>
          </w:tcPr>
          <w:p>
            <w:pPr>
              <w:ind w:left="100"/>
              <w:spacing w:after="0" w:line="223" w:lineRule="exact"/>
              <w:rPr>
                <w:sz w:val="20"/>
                <w:szCs w:val="20"/>
                <w:color w:val="auto"/>
              </w:rPr>
            </w:pPr>
            <w:r>
              <w:rPr>
                <w:rFonts w:ascii="Times New Roman" w:cs="Times New Roman" w:eastAsia="Times New Roman" w:hAnsi="Times New Roman"/>
                <w:sz w:val="22"/>
                <w:szCs w:val="22"/>
                <w:color w:val="auto"/>
                <w:w w:val="75"/>
              </w:rPr>
              <w:t>Indemnification</w:t>
            </w:r>
          </w:p>
        </w:tc>
        <w:tc>
          <w:tcPr>
            <w:tcW w:w="1300" w:type="dxa"/>
            <w:vAlign w:val="bottom"/>
            <w:tcBorders>
              <w:bottom w:val="single" w:sz="8" w:color="auto"/>
            </w:tcBorders>
            <w:gridSpan w:val="8"/>
          </w:tcPr>
          <w:p>
            <w:pPr>
              <w:jc w:val="center"/>
              <w:ind w:left="92"/>
              <w:spacing w:after="0" w:line="223" w:lineRule="exact"/>
              <w:rPr>
                <w:sz w:val="20"/>
                <w:szCs w:val="20"/>
                <w:color w:val="auto"/>
              </w:rPr>
            </w:pPr>
            <w:r>
              <w:rPr>
                <w:rFonts w:ascii="Times New Roman" w:cs="Times New Roman" w:eastAsia="Times New Roman" w:hAnsi="Times New Roman"/>
                <w:sz w:val="22"/>
                <w:szCs w:val="22"/>
                <w:color w:val="auto"/>
                <w:w w:val="98"/>
              </w:rPr>
              <w:t>by Seller</w:t>
            </w:r>
          </w:p>
        </w:tc>
        <w:tc>
          <w:tcPr>
            <w:tcW w:w="440" w:type="dxa"/>
            <w:vAlign w:val="bottom"/>
            <w:tcBorders>
              <w:bottom w:val="single" w:sz="8" w:color="auto"/>
            </w:tcBorders>
            <w:vMerge w:val="continue"/>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6.3</w:t>
            </w:r>
          </w:p>
        </w:tc>
        <w:tc>
          <w:tcPr>
            <w:tcW w:w="2480" w:type="dxa"/>
            <w:vAlign w:val="bottom"/>
            <w:tcBorders>
              <w:bottom w:val="single" w:sz="8" w:color="auto"/>
            </w:tcBorders>
            <w:gridSpan w:val="12"/>
          </w:tcPr>
          <w:p>
            <w:pPr>
              <w:ind w:left="100"/>
              <w:spacing w:after="0" w:line="223" w:lineRule="exact"/>
              <w:rPr>
                <w:sz w:val="20"/>
                <w:szCs w:val="20"/>
                <w:color w:val="auto"/>
              </w:rPr>
            </w:pPr>
            <w:r>
              <w:rPr>
                <w:rFonts w:ascii="Times New Roman" w:cs="Times New Roman" w:eastAsia="Times New Roman" w:hAnsi="Times New Roman"/>
                <w:sz w:val="22"/>
                <w:szCs w:val="22"/>
                <w:color w:val="auto"/>
              </w:rPr>
              <w:t>Indemnification by Buyer</w:t>
            </w:r>
          </w:p>
        </w:tc>
        <w:tc>
          <w:tcPr>
            <w:tcW w:w="4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38</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6.4</w:t>
            </w:r>
          </w:p>
        </w:tc>
        <w:tc>
          <w:tcPr>
            <w:tcW w:w="2480" w:type="dxa"/>
            <w:vAlign w:val="bottom"/>
            <w:tcBorders>
              <w:bottom w:val="single" w:sz="8" w:color="auto"/>
            </w:tcBorders>
            <w:gridSpan w:val="12"/>
          </w:tcPr>
          <w:p>
            <w:pPr>
              <w:ind w:left="100"/>
              <w:spacing w:after="0" w:line="223" w:lineRule="exact"/>
              <w:rPr>
                <w:sz w:val="20"/>
                <w:szCs w:val="20"/>
                <w:color w:val="auto"/>
              </w:rPr>
            </w:pPr>
            <w:r>
              <w:rPr>
                <w:rFonts w:ascii="Times New Roman" w:cs="Times New Roman" w:eastAsia="Times New Roman" w:hAnsi="Times New Roman"/>
                <w:sz w:val="22"/>
                <w:szCs w:val="22"/>
                <w:color w:val="auto"/>
              </w:rPr>
              <w:t>Limitations on Indemnity</w:t>
            </w:r>
          </w:p>
        </w:tc>
        <w:tc>
          <w:tcPr>
            <w:tcW w:w="4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38</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85" w:right="1440"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53"/>
        </w:trPr>
        <w:tc>
          <w:tcPr>
            <w:tcW w:w="920" w:type="dxa"/>
            <w:vAlign w:val="bottom"/>
          </w:tcPr>
          <w:p>
            <w:pPr>
              <w:spacing w:after="0"/>
              <w:rPr>
                <w:sz w:val="22"/>
                <w:szCs w:val="22"/>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6.5</w:t>
            </w:r>
          </w:p>
        </w:tc>
        <w:tc>
          <w:tcPr>
            <w:tcW w:w="5080" w:type="dxa"/>
            <w:vAlign w:val="bottom"/>
            <w:gridSpan w:val="14"/>
          </w:tcPr>
          <w:p>
            <w:pPr>
              <w:ind w:left="100"/>
              <w:spacing w:after="0"/>
              <w:rPr>
                <w:sz w:val="20"/>
                <w:szCs w:val="20"/>
                <w:color w:val="auto"/>
              </w:rPr>
            </w:pPr>
            <w:r>
              <w:rPr>
                <w:rFonts w:ascii="Times New Roman" w:cs="Times New Roman" w:eastAsia="Times New Roman" w:hAnsi="Times New Roman"/>
                <w:sz w:val="22"/>
                <w:szCs w:val="22"/>
                <w:color w:val="auto"/>
              </w:rPr>
              <w:t>Notification of Claims; Third Party Claims  40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top w:val="single" w:sz="8" w:color="auto"/>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6.6</w:t>
            </w:r>
          </w:p>
        </w:tc>
        <w:tc>
          <w:tcPr>
            <w:tcW w:w="2060" w:type="dxa"/>
            <w:vAlign w:val="bottom"/>
            <w:tcBorders>
              <w:top w:val="single" w:sz="8" w:color="auto"/>
              <w:bottom w:val="single" w:sz="8" w:color="auto"/>
            </w:tcBorders>
            <w:gridSpan w:val="9"/>
          </w:tcPr>
          <w:p>
            <w:pPr>
              <w:ind w:left="100"/>
              <w:spacing w:after="0" w:line="223" w:lineRule="exact"/>
              <w:rPr>
                <w:sz w:val="20"/>
                <w:szCs w:val="20"/>
                <w:color w:val="auto"/>
              </w:rPr>
            </w:pPr>
            <w:r>
              <w:rPr>
                <w:rFonts w:ascii="Times New Roman" w:cs="Times New Roman" w:eastAsia="Times New Roman" w:hAnsi="Times New Roman"/>
                <w:sz w:val="22"/>
                <w:szCs w:val="22"/>
                <w:color w:val="auto"/>
              </w:rPr>
              <w:t>Exclusive Remedy 41</w:t>
            </w: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ARTICLE 7</w:t>
            </w:r>
          </w:p>
        </w:tc>
        <w:tc>
          <w:tcPr>
            <w:tcW w:w="17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DEFINITIONS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7.1</w:t>
            </w:r>
          </w:p>
        </w:tc>
        <w:tc>
          <w:tcPr>
            <w:tcW w:w="2220" w:type="dxa"/>
            <w:vAlign w:val="bottom"/>
            <w:gridSpan w:val="10"/>
          </w:tcPr>
          <w:p>
            <w:pPr>
              <w:ind w:left="100"/>
              <w:spacing w:after="0"/>
              <w:rPr>
                <w:sz w:val="20"/>
                <w:szCs w:val="20"/>
                <w:color w:val="auto"/>
              </w:rPr>
            </w:pPr>
            <w:r>
              <w:rPr>
                <w:rFonts w:ascii="Times New Roman" w:cs="Times New Roman" w:eastAsia="Times New Roman" w:hAnsi="Times New Roman"/>
                <w:sz w:val="22"/>
                <w:szCs w:val="22"/>
                <w:color w:val="auto"/>
              </w:rPr>
              <w:t>Certain Terms 41</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top w:val="single" w:sz="8" w:color="auto"/>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7.2</w:t>
            </w:r>
          </w:p>
        </w:tc>
        <w:tc>
          <w:tcPr>
            <w:tcW w:w="1300" w:type="dxa"/>
            <w:vAlign w:val="bottom"/>
            <w:tcBorders>
              <w:top w:val="single" w:sz="8" w:color="auto"/>
              <w:bottom w:val="single" w:sz="8" w:color="auto"/>
            </w:tcBorders>
            <w:gridSpan w:val="5"/>
          </w:tcPr>
          <w:p>
            <w:pPr>
              <w:ind w:left="100"/>
              <w:spacing w:after="0" w:line="223" w:lineRule="exact"/>
              <w:rPr>
                <w:sz w:val="20"/>
                <w:szCs w:val="20"/>
                <w:color w:val="auto"/>
              </w:rPr>
            </w:pPr>
            <w:r>
              <w:rPr>
                <w:rFonts w:ascii="Times New Roman" w:cs="Times New Roman" w:eastAsia="Times New Roman" w:hAnsi="Times New Roman"/>
                <w:sz w:val="22"/>
                <w:szCs w:val="22"/>
                <w:color w:val="auto"/>
              </w:rPr>
              <w:t>Construction</w:t>
            </w:r>
          </w:p>
        </w:tc>
        <w:tc>
          <w:tcPr>
            <w:tcW w:w="320" w:type="dxa"/>
            <w:vAlign w:val="bottom"/>
            <w:tcBorders>
              <w:top w:val="single" w:sz="8" w:color="auto"/>
              <w:bottom w:val="single" w:sz="8" w:color="auto"/>
            </w:tcBorders>
            <w:gridSpan w:val="2"/>
          </w:tcPr>
          <w:p>
            <w:pPr>
              <w:jc w:val="center"/>
              <w:spacing w:after="0" w:line="223" w:lineRule="exact"/>
              <w:rPr>
                <w:sz w:val="20"/>
                <w:szCs w:val="20"/>
                <w:color w:val="auto"/>
              </w:rPr>
            </w:pPr>
            <w:r>
              <w:rPr>
                <w:rFonts w:ascii="Times New Roman" w:cs="Times New Roman" w:eastAsia="Times New Roman" w:hAnsi="Times New Roman"/>
                <w:sz w:val="22"/>
                <w:szCs w:val="22"/>
                <w:color w:val="auto"/>
                <w:w w:val="99"/>
              </w:rPr>
              <w:t>55</w:t>
            </w:r>
          </w:p>
        </w:tc>
        <w:tc>
          <w:tcPr>
            <w:tcW w:w="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8</w:t>
            </w:r>
          </w:p>
        </w:tc>
        <w:tc>
          <w:tcPr>
            <w:tcW w:w="214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MISCELLANEOUS</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55</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tcBorders>
              <w:top w:val="single" w:sz="8" w:color="auto"/>
            </w:tcBorders>
          </w:tcPr>
          <w:p>
            <w:pPr>
              <w:spacing w:after="0"/>
              <w:rPr>
                <w:sz w:val="24"/>
                <w:szCs w:val="24"/>
                <w:color w:val="auto"/>
              </w:rPr>
            </w:pPr>
          </w:p>
        </w:tc>
        <w:tc>
          <w:tcPr>
            <w:tcW w:w="1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Section 8.1</w:t>
            </w:r>
          </w:p>
        </w:tc>
        <w:tc>
          <w:tcPr>
            <w:tcW w:w="8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Notices</w:t>
            </w:r>
          </w:p>
        </w:tc>
        <w:tc>
          <w:tcPr>
            <w:tcW w:w="3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55</w:t>
            </w: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8.2</w:t>
            </w:r>
          </w:p>
        </w:tc>
        <w:tc>
          <w:tcPr>
            <w:tcW w:w="1200" w:type="dxa"/>
            <w:vAlign w:val="bottom"/>
            <w:gridSpan w:val="4"/>
          </w:tcPr>
          <w:p>
            <w:pPr>
              <w:ind w:left="100"/>
              <w:spacing w:after="0" w:line="223" w:lineRule="exact"/>
              <w:rPr>
                <w:sz w:val="20"/>
                <w:szCs w:val="20"/>
                <w:color w:val="auto"/>
              </w:rPr>
            </w:pPr>
            <w:r>
              <w:rPr>
                <w:rFonts w:ascii="Times New Roman" w:cs="Times New Roman" w:eastAsia="Times New Roman" w:hAnsi="Times New Roman"/>
                <w:sz w:val="22"/>
                <w:szCs w:val="22"/>
                <w:color w:val="auto"/>
                <w:w w:val="93"/>
              </w:rPr>
              <w:t>Amendment;</w:t>
            </w:r>
          </w:p>
        </w:tc>
        <w:tc>
          <w:tcPr>
            <w:tcW w:w="3880" w:type="dxa"/>
            <w:vAlign w:val="bottom"/>
            <w:gridSpan w:val="10"/>
          </w:tcPr>
          <w:p>
            <w:pPr>
              <w:ind w:left="80"/>
              <w:spacing w:after="0" w:line="223" w:lineRule="exact"/>
              <w:rPr>
                <w:sz w:val="20"/>
                <w:szCs w:val="20"/>
                <w:color w:val="auto"/>
              </w:rPr>
            </w:pPr>
            <w:r>
              <w:rPr>
                <w:rFonts w:ascii="Times New Roman" w:cs="Times New Roman" w:eastAsia="Times New Roman" w:hAnsi="Times New Roman"/>
                <w:sz w:val="22"/>
                <w:szCs w:val="22"/>
                <w:color w:val="auto"/>
              </w:rPr>
              <w:t>Waivers, etc   56</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8.3</w:t>
            </w:r>
          </w:p>
        </w:tc>
        <w:tc>
          <w:tcPr>
            <w:tcW w:w="1300" w:type="dxa"/>
            <w:vAlign w:val="bottom"/>
            <w:tcBorders>
              <w:top w:val="single" w:sz="8" w:color="auto"/>
            </w:tcBorders>
            <w:gridSpan w:val="5"/>
          </w:tcPr>
          <w:p>
            <w:pPr>
              <w:ind w:left="100"/>
              <w:spacing w:after="0" w:line="223" w:lineRule="exact"/>
              <w:rPr>
                <w:sz w:val="20"/>
                <w:szCs w:val="20"/>
                <w:color w:val="auto"/>
              </w:rPr>
            </w:pPr>
            <w:r>
              <w:rPr>
                <w:rFonts w:ascii="Times New Roman" w:cs="Times New Roman" w:eastAsia="Times New Roman" w:hAnsi="Times New Roman"/>
                <w:sz w:val="22"/>
                <w:szCs w:val="22"/>
                <w:color w:val="auto"/>
              </w:rPr>
              <w:t>Expenses 56</w:t>
            </w:r>
          </w:p>
        </w:tc>
        <w:tc>
          <w:tcPr>
            <w:tcW w:w="2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2"/>
                <w:szCs w:val="22"/>
                <w:color w:val="auto"/>
              </w:rPr>
              <w:t>57</w:t>
            </w:r>
          </w:p>
        </w:tc>
        <w:tc>
          <w:tcPr>
            <w:tcW w:w="440" w:type="dxa"/>
            <w:vAlign w:val="bottom"/>
            <w:tcBorders>
              <w:top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top w:val="single" w:sz="8" w:color="auto"/>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8.4</w:t>
            </w:r>
          </w:p>
        </w:tc>
        <w:tc>
          <w:tcPr>
            <w:tcW w:w="1180" w:type="dxa"/>
            <w:vAlign w:val="bottom"/>
            <w:tcBorders>
              <w:top w:val="single" w:sz="8" w:color="auto"/>
              <w:bottom w:val="single" w:sz="8" w:color="auto"/>
            </w:tcBorders>
            <w:gridSpan w:val="3"/>
          </w:tcPr>
          <w:p>
            <w:pPr>
              <w:ind w:left="100"/>
              <w:spacing w:after="0" w:line="223" w:lineRule="exact"/>
              <w:rPr>
                <w:sz w:val="20"/>
                <w:szCs w:val="20"/>
                <w:color w:val="auto"/>
              </w:rPr>
            </w:pPr>
            <w:r>
              <w:rPr>
                <w:rFonts w:ascii="Times New Roman" w:cs="Times New Roman" w:eastAsia="Times New Roman" w:hAnsi="Times New Roman"/>
                <w:sz w:val="22"/>
                <w:szCs w:val="22"/>
                <w:color w:val="auto"/>
              </w:rPr>
              <w:t>Governing</w:t>
            </w:r>
          </w:p>
        </w:tc>
        <w:tc>
          <w:tcPr>
            <w:tcW w:w="1040" w:type="dxa"/>
            <w:vAlign w:val="bottom"/>
            <w:tcBorders>
              <w:bottom w:val="single" w:sz="8" w:color="auto"/>
            </w:tcBorders>
            <w:gridSpan w:val="7"/>
          </w:tcPr>
          <w:p>
            <w:pPr>
              <w:jc w:val="center"/>
              <w:ind w:right="400"/>
              <w:spacing w:after="0" w:line="223" w:lineRule="exact"/>
              <w:rPr>
                <w:sz w:val="20"/>
                <w:szCs w:val="20"/>
                <w:color w:val="auto"/>
              </w:rPr>
            </w:pPr>
            <w:r>
              <w:rPr>
                <w:rFonts w:ascii="Times New Roman" w:cs="Times New Roman" w:eastAsia="Times New Roman" w:hAnsi="Times New Roman"/>
                <w:sz w:val="22"/>
                <w:szCs w:val="22"/>
                <w:color w:val="auto"/>
                <w:w w:val="84"/>
              </w:rPr>
              <w:t>Law, etc</w:t>
            </w:r>
          </w:p>
        </w:tc>
        <w:tc>
          <w:tcPr>
            <w:tcW w:w="260" w:type="dxa"/>
            <w:vAlign w:val="bottom"/>
            <w:tcBorders>
              <w:top w:val="single" w:sz="8" w:color="auto"/>
              <w:bottom w:val="single" w:sz="8" w:color="auto"/>
            </w:tcBorders>
            <w:vMerge w:val="continue"/>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8.5</w:t>
            </w:r>
          </w:p>
        </w:tc>
        <w:tc>
          <w:tcPr>
            <w:tcW w:w="2220" w:type="dxa"/>
            <w:vAlign w:val="bottom"/>
            <w:tcBorders>
              <w:bottom w:val="single" w:sz="8" w:color="auto"/>
            </w:tcBorders>
            <w:gridSpan w:val="10"/>
          </w:tcPr>
          <w:p>
            <w:pPr>
              <w:ind w:left="100"/>
              <w:spacing w:after="0" w:line="223" w:lineRule="exact"/>
              <w:rPr>
                <w:sz w:val="20"/>
                <w:szCs w:val="20"/>
                <w:color w:val="auto"/>
              </w:rPr>
            </w:pPr>
            <w:r>
              <w:rPr>
                <w:rFonts w:ascii="Times New Roman" w:cs="Times New Roman" w:eastAsia="Times New Roman" w:hAnsi="Times New Roman"/>
                <w:sz w:val="22"/>
                <w:szCs w:val="22"/>
                <w:color w:val="auto"/>
              </w:rPr>
              <w:t>Successors and Assigns</w:t>
            </w: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58</w:t>
            </w: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8.6</w:t>
            </w:r>
          </w:p>
        </w:tc>
        <w:tc>
          <w:tcPr>
            <w:tcW w:w="1300" w:type="dxa"/>
            <w:vAlign w:val="bottom"/>
            <w:tcBorders>
              <w:bottom w:val="single" w:sz="8" w:color="auto"/>
            </w:tcBorders>
            <w:gridSpan w:val="5"/>
          </w:tcPr>
          <w:p>
            <w:pPr>
              <w:ind w:left="100"/>
              <w:spacing w:after="0" w:line="223" w:lineRule="exact"/>
              <w:rPr>
                <w:sz w:val="20"/>
                <w:szCs w:val="20"/>
                <w:color w:val="auto"/>
              </w:rPr>
            </w:pPr>
            <w:r>
              <w:rPr>
                <w:rFonts w:ascii="Times New Roman" w:cs="Times New Roman" w:eastAsia="Times New Roman" w:hAnsi="Times New Roman"/>
                <w:sz w:val="22"/>
                <w:szCs w:val="22"/>
                <w:color w:val="auto"/>
              </w:rPr>
              <w:t>Divestitures</w:t>
            </w:r>
          </w:p>
        </w:tc>
        <w:tc>
          <w:tcPr>
            <w:tcW w:w="320" w:type="dxa"/>
            <w:vAlign w:val="bottom"/>
            <w:tcBorders>
              <w:bottom w:val="single" w:sz="8" w:color="auto"/>
            </w:tcBorders>
            <w:gridSpan w:val="2"/>
          </w:tcPr>
          <w:p>
            <w:pPr>
              <w:jc w:val="center"/>
              <w:spacing w:after="0" w:line="223" w:lineRule="exact"/>
              <w:rPr>
                <w:sz w:val="20"/>
                <w:szCs w:val="20"/>
                <w:color w:val="auto"/>
              </w:rPr>
            </w:pPr>
            <w:r>
              <w:rPr>
                <w:rFonts w:ascii="Times New Roman" w:cs="Times New Roman" w:eastAsia="Times New Roman" w:hAnsi="Times New Roman"/>
                <w:sz w:val="22"/>
                <w:szCs w:val="22"/>
                <w:color w:val="auto"/>
                <w:w w:val="99"/>
              </w:rPr>
              <w:t>59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8.7</w:t>
            </w:r>
          </w:p>
        </w:tc>
        <w:tc>
          <w:tcPr>
            <w:tcW w:w="1620" w:type="dxa"/>
            <w:vAlign w:val="bottom"/>
            <w:tcBorders>
              <w:bottom w:val="single" w:sz="8" w:color="auto"/>
            </w:tcBorders>
            <w:gridSpan w:val="7"/>
          </w:tcPr>
          <w:p>
            <w:pPr>
              <w:ind w:left="100"/>
              <w:spacing w:after="0" w:line="223" w:lineRule="exact"/>
              <w:rPr>
                <w:sz w:val="20"/>
                <w:szCs w:val="20"/>
                <w:color w:val="auto"/>
              </w:rPr>
            </w:pPr>
            <w:r>
              <w:rPr>
                <w:rFonts w:ascii="Times New Roman" w:cs="Times New Roman" w:eastAsia="Times New Roman" w:hAnsi="Times New Roman"/>
                <w:sz w:val="22"/>
                <w:szCs w:val="22"/>
                <w:color w:val="auto"/>
                <w:w w:val="95"/>
              </w:rPr>
              <w:t>Entire Agreement</w:t>
            </w:r>
          </w:p>
        </w:tc>
        <w:tc>
          <w:tcPr>
            <w:tcW w:w="440" w:type="dxa"/>
            <w:vAlign w:val="bottom"/>
            <w:tcBorders>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59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8.8</w:t>
            </w:r>
          </w:p>
        </w:tc>
        <w:tc>
          <w:tcPr>
            <w:tcW w:w="1300" w:type="dxa"/>
            <w:vAlign w:val="bottom"/>
            <w:tcBorders>
              <w:bottom w:val="single" w:sz="8" w:color="auto"/>
            </w:tcBorders>
            <w:gridSpan w:val="5"/>
          </w:tcPr>
          <w:p>
            <w:pPr>
              <w:ind w:left="100"/>
              <w:spacing w:after="0" w:line="223" w:lineRule="exact"/>
              <w:rPr>
                <w:sz w:val="20"/>
                <w:szCs w:val="20"/>
                <w:color w:val="auto"/>
              </w:rPr>
            </w:pPr>
            <w:r>
              <w:rPr>
                <w:rFonts w:ascii="Times New Roman" w:cs="Times New Roman" w:eastAsia="Times New Roman" w:hAnsi="Times New Roman"/>
                <w:sz w:val="22"/>
                <w:szCs w:val="22"/>
                <w:color w:val="auto"/>
              </w:rPr>
              <w:t>Severability</w:t>
            </w:r>
          </w:p>
        </w:tc>
        <w:tc>
          <w:tcPr>
            <w:tcW w:w="340" w:type="dxa"/>
            <w:vAlign w:val="bottom"/>
            <w:tcBorders>
              <w:bottom w:val="single" w:sz="8" w:color="auto"/>
            </w:tcBorders>
            <w:gridSpan w:val="3"/>
          </w:tcPr>
          <w:p>
            <w:pPr>
              <w:jc w:val="center"/>
              <w:spacing w:after="0" w:line="223" w:lineRule="exact"/>
              <w:rPr>
                <w:sz w:val="20"/>
                <w:szCs w:val="20"/>
                <w:color w:val="auto"/>
              </w:rPr>
            </w:pPr>
            <w:r>
              <w:rPr>
                <w:rFonts w:ascii="Times New Roman" w:cs="Times New Roman" w:eastAsia="Times New Roman" w:hAnsi="Times New Roman"/>
                <w:sz w:val="22"/>
                <w:szCs w:val="22"/>
                <w:color w:val="auto"/>
                <w:w w:val="99"/>
              </w:rPr>
              <w:t>59</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8.9</w:t>
            </w:r>
          </w:p>
        </w:tc>
        <w:tc>
          <w:tcPr>
            <w:tcW w:w="1640" w:type="dxa"/>
            <w:vAlign w:val="bottom"/>
            <w:tcBorders>
              <w:bottom w:val="single" w:sz="8" w:color="auto"/>
            </w:tcBorders>
            <w:gridSpan w:val="8"/>
          </w:tcPr>
          <w:p>
            <w:pPr>
              <w:ind w:left="100"/>
              <w:spacing w:after="0" w:line="223" w:lineRule="exact"/>
              <w:rPr>
                <w:sz w:val="20"/>
                <w:szCs w:val="20"/>
                <w:color w:val="auto"/>
              </w:rPr>
            </w:pPr>
            <w:r>
              <w:rPr>
                <w:rFonts w:ascii="Times New Roman" w:cs="Times New Roman" w:eastAsia="Times New Roman" w:hAnsi="Times New Roman"/>
                <w:sz w:val="22"/>
                <w:szCs w:val="22"/>
                <w:color w:val="auto"/>
              </w:rPr>
              <w:t>Counterparts;</w:t>
            </w:r>
          </w:p>
        </w:tc>
        <w:tc>
          <w:tcPr>
            <w:tcW w:w="3440" w:type="dxa"/>
            <w:vAlign w:val="bottom"/>
            <w:tcBorders>
              <w:bottom w:val="single" w:sz="8" w:color="auto"/>
            </w:tcBorders>
            <w:gridSpan w:val="6"/>
          </w:tcPr>
          <w:p>
            <w:pPr>
              <w:spacing w:after="0" w:line="223" w:lineRule="exact"/>
              <w:rPr>
                <w:sz w:val="20"/>
                <w:szCs w:val="20"/>
                <w:color w:val="auto"/>
              </w:rPr>
            </w:pPr>
            <w:r>
              <w:rPr>
                <w:rFonts w:ascii="Times New Roman" w:cs="Times New Roman" w:eastAsia="Times New Roman" w:hAnsi="Times New Roman"/>
                <w:sz w:val="22"/>
                <w:szCs w:val="22"/>
                <w:color w:val="auto"/>
                <w:w w:val="89"/>
              </w:rPr>
              <w:t>Effectiveness; Third Party Beneficiaries 60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8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Section 8.10</w:t>
            </w:r>
          </w:p>
        </w:tc>
        <w:tc>
          <w:tcPr>
            <w:tcW w:w="2220" w:type="dxa"/>
            <w:vAlign w:val="bottom"/>
            <w:tcBorders>
              <w:bottom w:val="single" w:sz="8" w:color="auto"/>
            </w:tcBorders>
            <w:gridSpan w:val="10"/>
          </w:tcPr>
          <w:p>
            <w:pPr>
              <w:ind w:left="100"/>
              <w:spacing w:after="0" w:line="223" w:lineRule="exact"/>
              <w:rPr>
                <w:sz w:val="20"/>
                <w:szCs w:val="20"/>
                <w:color w:val="auto"/>
              </w:rPr>
            </w:pPr>
            <w:r>
              <w:rPr>
                <w:rFonts w:ascii="Times New Roman" w:cs="Times New Roman" w:eastAsia="Times New Roman" w:hAnsi="Times New Roman"/>
                <w:sz w:val="22"/>
                <w:szCs w:val="22"/>
                <w:color w:val="auto"/>
              </w:rPr>
              <w:t>Specific Performance</w:t>
            </w: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60</w:t>
            </w: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5"/>
        </w:trPr>
        <w:tc>
          <w:tcPr>
            <w:tcW w:w="1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Annex 9.1(a)</w:t>
            </w: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Transferred Assets</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Annex 9.1(b)</w:t>
            </w:r>
          </w:p>
        </w:tc>
        <w:tc>
          <w:tcPr>
            <w:tcW w:w="17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Excluded Assets</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Annex 9.1(c)</w:t>
            </w:r>
          </w:p>
        </w:tc>
        <w:tc>
          <w:tcPr>
            <w:tcW w:w="2140" w:type="dxa"/>
            <w:vAlign w:val="bottom"/>
            <w:gridSpan w:val="6"/>
          </w:tcPr>
          <w:p>
            <w:pPr>
              <w:ind w:left="40"/>
              <w:spacing w:after="0" w:line="243" w:lineRule="exact"/>
              <w:rPr>
                <w:sz w:val="20"/>
                <w:szCs w:val="20"/>
                <w:color w:val="auto"/>
              </w:rPr>
            </w:pPr>
            <w:r>
              <w:rPr>
                <w:rFonts w:ascii="Times New Roman" w:cs="Times New Roman" w:eastAsia="Times New Roman" w:hAnsi="Times New Roman"/>
                <w:sz w:val="22"/>
                <w:szCs w:val="22"/>
                <w:color w:val="auto"/>
              </w:rPr>
              <w:t>Assumed Liabilities</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Annex 9.1(d)</w:t>
            </w:r>
          </w:p>
        </w:tc>
        <w:tc>
          <w:tcPr>
            <w:tcW w:w="214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Excluded Liabilities</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A:</w:t>
            </w:r>
          </w:p>
        </w:tc>
        <w:tc>
          <w:tcPr>
            <w:tcW w:w="5920" w:type="dxa"/>
            <w:vAlign w:val="bottom"/>
            <w:gridSpan w:val="15"/>
          </w:tcPr>
          <w:p>
            <w:pPr>
              <w:ind w:left="40"/>
              <w:spacing w:after="0"/>
              <w:rPr>
                <w:sz w:val="20"/>
                <w:szCs w:val="20"/>
                <w:color w:val="auto"/>
              </w:rPr>
            </w:pPr>
            <w:r>
              <w:rPr>
                <w:rFonts w:ascii="Times New Roman" w:cs="Times New Roman" w:eastAsia="Times New Roman" w:hAnsi="Times New Roman"/>
                <w:sz w:val="22"/>
                <w:szCs w:val="22"/>
                <w:color w:val="auto"/>
              </w:rPr>
              <w:t>Form of Assignment and Assumption Agreement</w:t>
            </w:r>
          </w:p>
        </w:tc>
        <w:tc>
          <w:tcPr>
            <w:tcW w:w="0" w:type="dxa"/>
            <w:vAlign w:val="bottom"/>
          </w:tcPr>
          <w:p>
            <w:pPr>
              <w:spacing w:after="0"/>
              <w:rPr>
                <w:sz w:val="1"/>
                <w:szCs w:val="1"/>
                <w:color w:val="auto"/>
              </w:rPr>
            </w:pPr>
          </w:p>
        </w:tc>
      </w:tr>
      <w:tr>
        <w:trPr>
          <w:trHeight w:val="243"/>
        </w:trPr>
        <w:tc>
          <w:tcPr>
            <w:tcW w:w="1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Exhibit B:</w:t>
            </w:r>
          </w:p>
        </w:tc>
        <w:tc>
          <w:tcPr>
            <w:tcW w:w="2140" w:type="dxa"/>
            <w:vAlign w:val="bottom"/>
            <w:gridSpan w:val="6"/>
          </w:tcPr>
          <w:p>
            <w:pPr>
              <w:ind w:left="40"/>
              <w:spacing w:after="0" w:line="243" w:lineRule="exact"/>
              <w:rPr>
                <w:sz w:val="20"/>
                <w:szCs w:val="20"/>
                <w:color w:val="auto"/>
              </w:rPr>
            </w:pPr>
            <w:r>
              <w:rPr>
                <w:rFonts w:ascii="Times New Roman" w:cs="Times New Roman" w:eastAsia="Times New Roman" w:hAnsi="Times New Roman"/>
                <w:sz w:val="22"/>
                <w:szCs w:val="22"/>
                <w:color w:val="auto"/>
              </w:rPr>
              <w:t>Form of Bill of Sale</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Exhibit C:</w:t>
            </w:r>
          </w:p>
        </w:tc>
        <w:tc>
          <w:tcPr>
            <w:tcW w:w="3060" w:type="dxa"/>
            <w:vAlign w:val="bottom"/>
            <w:gridSpan w:val="11"/>
          </w:tcPr>
          <w:p>
            <w:pPr>
              <w:ind w:left="40"/>
              <w:spacing w:after="0" w:line="243" w:lineRule="exact"/>
              <w:rPr>
                <w:sz w:val="20"/>
                <w:szCs w:val="20"/>
                <w:color w:val="auto"/>
              </w:rPr>
            </w:pPr>
            <w:r>
              <w:rPr>
                <w:rFonts w:ascii="Times New Roman" w:cs="Times New Roman" w:eastAsia="Times New Roman" w:hAnsi="Times New Roman"/>
                <w:sz w:val="22"/>
                <w:szCs w:val="22"/>
                <w:color w:val="auto"/>
              </w:rPr>
              <w:t>Form of Patent Assignment</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Exhibit D:</w:t>
            </w:r>
          </w:p>
        </w:tc>
        <w:tc>
          <w:tcPr>
            <w:tcW w:w="17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Transfer Plan</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Exhibit E:</w:t>
            </w:r>
          </w:p>
        </w:tc>
        <w:tc>
          <w:tcPr>
            <w:tcW w:w="5920" w:type="dxa"/>
            <w:vAlign w:val="bottom"/>
            <w:gridSpan w:val="15"/>
          </w:tcPr>
          <w:p>
            <w:pPr>
              <w:ind w:left="40"/>
              <w:spacing w:after="0" w:line="243" w:lineRule="exact"/>
              <w:rPr>
                <w:sz w:val="20"/>
                <w:szCs w:val="20"/>
                <w:color w:val="auto"/>
              </w:rPr>
            </w:pPr>
            <w:r>
              <w:rPr>
                <w:rFonts w:ascii="Times New Roman" w:cs="Times New Roman" w:eastAsia="Times New Roman" w:hAnsi="Times New Roman"/>
                <w:sz w:val="22"/>
                <w:szCs w:val="22"/>
                <w:color w:val="auto"/>
              </w:rPr>
              <w:t>[**] ADX-097 Molecule, and Acquired Backup Molecules</w:t>
            </w:r>
          </w:p>
        </w:tc>
        <w:tc>
          <w:tcPr>
            <w:tcW w:w="0" w:type="dxa"/>
            <w:vAlign w:val="bottom"/>
          </w:tcPr>
          <w:p>
            <w:pPr>
              <w:spacing w:after="0"/>
              <w:rPr>
                <w:sz w:val="1"/>
                <w:szCs w:val="1"/>
                <w:color w:val="auto"/>
              </w:rPr>
            </w:pPr>
          </w:p>
        </w:tc>
      </w:tr>
      <w:tr>
        <w:trPr>
          <w:trHeight w:val="243"/>
        </w:trPr>
        <w:tc>
          <w:tcPr>
            <w:tcW w:w="1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Exhibit F:</w:t>
            </w:r>
          </w:p>
        </w:tc>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Exhibit G:</w:t>
            </w:r>
          </w:p>
        </w:tc>
        <w:tc>
          <w:tcPr>
            <w:tcW w:w="5920" w:type="dxa"/>
            <w:vAlign w:val="bottom"/>
            <w:gridSpan w:val="15"/>
          </w:tcPr>
          <w:p>
            <w:pPr>
              <w:ind w:left="40"/>
              <w:spacing w:after="0" w:line="243" w:lineRule="exact"/>
              <w:rPr>
                <w:sz w:val="20"/>
                <w:szCs w:val="20"/>
                <w:color w:val="auto"/>
              </w:rPr>
            </w:pPr>
            <w:r>
              <w:rPr>
                <w:rFonts w:ascii="Times New Roman" w:cs="Times New Roman" w:eastAsia="Times New Roman" w:hAnsi="Times New Roman"/>
                <w:sz w:val="22"/>
                <w:szCs w:val="22"/>
                <w:color w:val="auto"/>
              </w:rPr>
              <w:t>Form of License Agreement Novation Agreement</w:t>
            </w:r>
          </w:p>
        </w:tc>
        <w:tc>
          <w:tcPr>
            <w:tcW w:w="0" w:type="dxa"/>
            <w:vAlign w:val="bottom"/>
          </w:tcPr>
          <w:p>
            <w:pPr>
              <w:spacing w:after="0"/>
              <w:rPr>
                <w:sz w:val="1"/>
                <w:szCs w:val="1"/>
                <w:color w:val="auto"/>
              </w:rPr>
            </w:pPr>
          </w:p>
        </w:tc>
      </w:tr>
      <w:tr>
        <w:trPr>
          <w:trHeight w:val="243"/>
        </w:trPr>
        <w:tc>
          <w:tcPr>
            <w:tcW w:w="1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Exhibit H:</w:t>
            </w:r>
          </w:p>
        </w:tc>
        <w:tc>
          <w:tcPr>
            <w:tcW w:w="2140" w:type="dxa"/>
            <w:vAlign w:val="bottom"/>
            <w:gridSpan w:val="6"/>
          </w:tcPr>
          <w:p>
            <w:pPr>
              <w:ind w:left="40"/>
              <w:spacing w:after="0" w:line="243" w:lineRule="exact"/>
              <w:rPr>
                <w:sz w:val="20"/>
                <w:szCs w:val="20"/>
                <w:color w:val="auto"/>
              </w:rPr>
            </w:pPr>
            <w:r>
              <w:rPr>
                <w:rFonts w:ascii="Times New Roman" w:cs="Times New Roman" w:eastAsia="Times New Roman" w:hAnsi="Times New Roman"/>
                <w:sz w:val="22"/>
                <w:szCs w:val="22"/>
                <w:color w:val="auto"/>
              </w:rPr>
              <w:t>Baseball Arbitration</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9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Exhibit I: Data Room Index</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Schedule 1.14</w:t>
            </w:r>
          </w:p>
        </w:tc>
        <w:tc>
          <w:tcPr>
            <w:tcW w:w="3060" w:type="dxa"/>
            <w:vAlign w:val="bottom"/>
            <w:gridSpan w:val="11"/>
          </w:tcPr>
          <w:p>
            <w:pPr>
              <w:ind w:left="40"/>
              <w:spacing w:after="0"/>
              <w:rPr>
                <w:sz w:val="20"/>
                <w:szCs w:val="20"/>
                <w:color w:val="auto"/>
              </w:rPr>
            </w:pPr>
            <w:r>
              <w:rPr>
                <w:rFonts w:ascii="Times New Roman" w:cs="Times New Roman" w:eastAsia="Times New Roman" w:hAnsi="Times New Roman"/>
                <w:sz w:val="22"/>
                <w:szCs w:val="22"/>
                <w:color w:val="auto"/>
              </w:rPr>
              <w:t>Allocation of Consideration</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85" w:right="1440"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22"/>
          <w:szCs w:val="22"/>
          <w:b w:val="1"/>
          <w:bCs w:val="1"/>
          <w:color w:val="auto"/>
        </w:rPr>
        <w:t>ASSET PURCHASE AGREEMENT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ASSET PURCHASE AGREEMENT</w:t>
      </w:r>
      <w:r>
        <w:rPr>
          <w:rFonts w:ascii="Times New Roman" w:cs="Times New Roman" w:eastAsia="Times New Roman" w:hAnsi="Times New Roman"/>
          <w:sz w:val="22"/>
          <w:szCs w:val="22"/>
          <w:color w:val="auto"/>
        </w:rPr>
        <w:t>, dated as of November 28, 2025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by and between Akebia Therapeutics, Inc., a Delaware corporation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 on the one hand, and Q32 Bio Inc., a Delaware corporation, and Q32 Bio Operations Inc., a Delaware corporation (together, the “</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 on the other hand. Buyer and Seller are each referred to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together,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xml:space="preserve">.” Capitalized terms used herein shall have the meanings assigned to such terms in the text of this Agreement or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Certain Terms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 E C I T A L 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Seller, directly and indirectly through certain of its Affiliates, owns, licenses or otherwise holds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to research, develop, manufacture, and commercialize Products (as defined below) in the Territory in the Field and to the Acquired Program (such business in the Territory, the “</w:t>
      </w:r>
      <w:r>
        <w:rPr>
          <w:rFonts w:ascii="Times New Roman" w:cs="Times New Roman" w:eastAsia="Times New Roman" w:hAnsi="Times New Roman"/>
          <w:sz w:val="22"/>
          <w:szCs w:val="22"/>
          <w:b w:val="1"/>
          <w:bCs w:val="1"/>
          <w:color w:val="auto"/>
        </w:rPr>
        <w:t>Business</w:t>
      </w:r>
      <w:r>
        <w:rPr>
          <w:rFonts w:ascii="Times New Roman" w:cs="Times New Roman" w:eastAsia="Times New Roman" w:hAnsi="Times New Roman"/>
          <w:sz w:val="22"/>
          <w:szCs w:val="22"/>
          <w:color w:val="auto"/>
        </w:rPr>
        <w:t>”); and</w:t>
      </w:r>
    </w:p>
    <w:p>
      <w:pPr>
        <w:spacing w:after="0" w:line="167"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Seller desires to sell (or cause to be sold), and Buyer desires to purchase or cause certain of its Affiliates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certain of its assets related to the Business and Buyer is willing to assume or cause certain of its Affiliates to assume certain liabilities related to the Business, in each case, upon the terms and subject to the conditions set forth herein.</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Parties agree as follows: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233" w:lineRule="exact"/>
        <w:rPr>
          <w:sz w:val="20"/>
          <w:szCs w:val="20"/>
          <w:color w:val="auto"/>
        </w:rPr>
      </w:pPr>
    </w:p>
    <w:p>
      <w:pPr>
        <w:ind w:left="760" w:right="2200" w:firstLine="1452"/>
        <w:spacing w:after="0" w:line="437" w:lineRule="auto"/>
        <w:rPr>
          <w:sz w:val="20"/>
          <w:szCs w:val="20"/>
          <w:color w:val="auto"/>
        </w:rPr>
      </w:pPr>
      <w:r>
        <w:rPr>
          <w:rFonts w:ascii="Times New Roman" w:cs="Times New Roman" w:eastAsia="Times New Roman" w:hAnsi="Times New Roman"/>
          <w:sz w:val="22"/>
          <w:szCs w:val="22"/>
          <w:b w:val="1"/>
          <w:bCs w:val="1"/>
          <w:color w:val="auto"/>
        </w:rPr>
        <w:t xml:space="preserve">SALE AND PURCHASE OF ASSETS, ASSUMPTION OF LIABILITIES </w:t>
      </w:r>
      <w:r>
        <w:rPr>
          <w:rFonts w:ascii="Times New Roman" w:cs="Times New Roman" w:eastAsia="Times New Roman" w:hAnsi="Times New Roman"/>
          <w:sz w:val="22"/>
          <w:szCs w:val="22"/>
          <w:color w:val="auto"/>
        </w:rPr>
        <w:t>Section 1.1</w:t>
      </w:r>
      <w:r>
        <w:rPr>
          <w:rFonts w:ascii="Times New Roman" w:cs="Times New Roman" w:eastAsia="Times New Roman" w:hAnsi="Times New Roman"/>
          <w:sz w:val="22"/>
          <w:szCs w:val="22"/>
          <w:u w:val="single" w:color="auto"/>
          <w:color w:val="auto"/>
        </w:rPr>
        <w:t>Sale and Purchase</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1505"/>
        <w:spacing w:after="0" w:line="235" w:lineRule="auto"/>
        <w:tabs>
          <w:tab w:leader="none" w:pos="203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and Sale of Transferred Assets</w:t>
      </w:r>
      <w:r>
        <w:rPr>
          <w:rFonts w:ascii="Times New Roman" w:cs="Times New Roman" w:eastAsia="Times New Roman" w:hAnsi="Times New Roman"/>
          <w:sz w:val="22"/>
          <w:szCs w:val="22"/>
          <w:color w:val="auto"/>
        </w:rPr>
        <w:t xml:space="preserve">. Subject to the terms and conditions hereof, at the Closing, Seller will, and will cause the Selling Affiliates to, sell, convey, assign, and transfer to Buyer, and Buyer will purchase, acquire, and accept from Seller all rights, title, and interests in and to the Transferred Assets, in each case free and clear of all Liens other than Permitted Liens. Notwithstanding the foregoing or anything to the contrary in this Agreement, but subject to the obligations set forth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Confidentiality</w:t>
      </w:r>
      <w:r>
        <w:rPr>
          <w:rFonts w:ascii="Times New Roman" w:cs="Times New Roman" w:eastAsia="Times New Roman" w:hAnsi="Times New Roman"/>
          <w:sz w:val="22"/>
          <w:szCs w:val="22"/>
          <w:color w:val="auto"/>
        </w:rPr>
        <w:t>), Buyer acknowledges and agrees that Seller may retain such copies of all or any part of the documentation that is included in the Transferred Assets, as may be reasonably necessary for archival purposes and for purposes of complying with applicable Law and Seller’s document retention policy.</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Notwithstanding any provision to the contrary set forth in this Agreement, Buyer will not acquire, pursuant to this Agreement or any of the transactions contemplated hereby, any rights, title or interests in any Excluded Asset.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8" w:name="page149"/>
    <w:bookmarkEnd w:id="148"/>
    <w:p>
      <w:pPr>
        <w:jc w:val="both"/>
        <w:ind w:firstLine="1505"/>
        <w:spacing w:after="0" w:line="239" w:lineRule="auto"/>
        <w:tabs>
          <w:tab w:leader="none" w:pos="203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Assumed Liabilities</w:t>
      </w:r>
      <w:r>
        <w:rPr>
          <w:rFonts w:ascii="Times New Roman" w:cs="Times New Roman" w:eastAsia="Times New Roman" w:hAnsi="Times New Roman"/>
          <w:sz w:val="22"/>
          <w:szCs w:val="22"/>
          <w:color w:val="auto"/>
        </w:rPr>
        <w:t>. Subject to the terms and conditions hereof, at the Closing, Buyer shall assume or cause certain of its Affiliates to assume the Assumed Liabilities and shall satisfy and discharge the Assumed Liabilities as and when they become due. After the Closing, Buyer shall pay or cause certain of its Affiliates to pay all Assumed Liabilities as and when such Assumed Liabilities become due.</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Excluded Liabilities</w:t>
      </w:r>
      <w:r>
        <w:rPr>
          <w:rFonts w:ascii="Times New Roman" w:cs="Times New Roman" w:eastAsia="Times New Roman" w:hAnsi="Times New Roman"/>
          <w:sz w:val="22"/>
          <w:szCs w:val="22"/>
          <w:color w:val="auto"/>
        </w:rPr>
        <w:t>. Neither Buyer nor any of its Affiliates shall assume or be obligated to pay, perform or otherwise discharge any Excluded Liability. Seller and/or the Selling Affiliates, as the case may be, will remain liable to pay, perform and discharge all Excluded Liabilities as and when such Excluded Liabilities become due.</w:t>
      </w:r>
    </w:p>
    <w:p>
      <w:pPr>
        <w:spacing w:after="0" w:line="173"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Transfer Documents</w:t>
      </w:r>
      <w:r>
        <w:rPr>
          <w:rFonts w:ascii="Times New Roman" w:cs="Times New Roman" w:eastAsia="Times New Roman" w:hAnsi="Times New Roman"/>
          <w:sz w:val="22"/>
          <w:szCs w:val="22"/>
          <w:color w:val="auto"/>
        </w:rPr>
        <w:t>. To the extent required under applicable Law or as reasonably deemed necessary by either of the Parties hereto, to effect the transactions contemplated hereunder, the Parties shall execute and deliver, or cause their respective Affiliates to execute and deliver, such asset and/or business transfer agreements, bills of sale, deeds, assignments, assumptions and other documents and instruments of sale, conveyance, assignment, novation, transfer and assumption (the “</w:t>
      </w:r>
      <w:r>
        <w:rPr>
          <w:rFonts w:ascii="Times New Roman" w:cs="Times New Roman" w:eastAsia="Times New Roman" w:hAnsi="Times New Roman"/>
          <w:sz w:val="22"/>
          <w:szCs w:val="22"/>
          <w:b w:val="1"/>
          <w:bCs w:val="1"/>
          <w:color w:val="auto"/>
        </w:rPr>
        <w:t>Business Transfer Documents</w:t>
      </w:r>
      <w:r>
        <w:rPr>
          <w:rFonts w:ascii="Times New Roman" w:cs="Times New Roman" w:eastAsia="Times New Roman" w:hAnsi="Times New Roman"/>
          <w:sz w:val="22"/>
          <w:szCs w:val="22"/>
          <w:color w:val="auto"/>
        </w:rPr>
        <w:t xml:space="preserve">”) as are necessary to effect any transfer of the Transferred Assets at the Closing or such other time for transfer as contemplated by </w:t>
      </w:r>
      <w:r>
        <w:rPr>
          <w:rFonts w:ascii="Times New Roman" w:cs="Times New Roman" w:eastAsia="Times New Roman" w:hAnsi="Times New Roman"/>
          <w:sz w:val="22"/>
          <w:szCs w:val="22"/>
          <w:u w:val="single" w:color="auto"/>
          <w:color w:val="auto"/>
        </w:rPr>
        <w:t>Section 1.1(g)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Transferred Assets Subject to Third-Party Consent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Shared Contracts</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4.17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Transferred Materials</w:t>
      </w:r>
      <w:r>
        <w:rPr>
          <w:rFonts w:ascii="Times New Roman" w:cs="Times New Roman" w:eastAsia="Times New Roman" w:hAnsi="Times New Roman"/>
          <w:sz w:val="22"/>
          <w:szCs w:val="22"/>
          <w:color w:val="auto"/>
        </w:rPr>
        <w:t xml:space="preserve">) or any assumption of the Assumed Liabilities at the Closing. The Business Transfer Documents shall be in form and substance reasonably agreed to by the Parties and as is usual and customary in the applicable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Parties agree and acknowledge that the Business Transfer Documents are intended solely to formalize the terms and conditions of this Agreement in order to comply with any applicable Law and shall be, in all respects, consistent with the terms and conditions set forth in this Agreement. In the event of any inconsistency between this Agreement and a Business Transfer Document, this Agreement shall control. For the avoidance of doubt, Business Transfer Documents shall include confirmatory assignments, declarations, and related paperwork necessary to perfect Buyer’s title in the Transferred IP (including all inventions claimed or disclosed in any Transferred Patent Right).</w:t>
      </w:r>
    </w:p>
    <w:p>
      <w:pPr>
        <w:spacing w:after="0" w:line="179"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Affiliates; Performance of Obligations by Affiliates</w:t>
      </w:r>
      <w:r>
        <w:rPr>
          <w:rFonts w:ascii="Times New Roman" w:cs="Times New Roman" w:eastAsia="Times New Roman" w:hAnsi="Times New Roman"/>
          <w:sz w:val="22"/>
          <w:szCs w:val="22"/>
          <w:color w:val="auto"/>
        </w:rPr>
        <w:t xml:space="preserve">. To the extent that any of the Transferred Assets are under the control of any of the Selling Affiliates, Seller shall cause such Selling Affiliates to promptly take such legal action as may be necessary to consummate the transfer to Buyer of such Transferred Assets under terms and conditions which are consistent with and subject to the terms of this Agreement. Any obligation of Seller under or pursuant to this Agreement may be satisfied, met or fulfilled, in whole or in part, at Seller’s sole and exclusive option, either by Seller directly, or by any Selling Affiliate that Seller causes to satisfy, meet or fulfill such obligation, in whole or in part. Notwithstanding the foregoing, this </w:t>
      </w:r>
      <w:r>
        <w:rPr>
          <w:rFonts w:ascii="Times New Roman" w:cs="Times New Roman" w:eastAsia="Times New Roman" w:hAnsi="Times New Roman"/>
          <w:sz w:val="22"/>
          <w:szCs w:val="22"/>
          <w:u w:val="single" w:color="auto"/>
          <w:color w:val="auto"/>
        </w:rPr>
        <w:t>Section 1.1(f)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Designation of Affiliates; Performance of Obligations by Affiliates</w:t>
      </w:r>
      <w:r>
        <w:rPr>
          <w:rFonts w:ascii="Times New Roman" w:cs="Times New Roman" w:eastAsia="Times New Roman" w:hAnsi="Times New Roman"/>
          <w:sz w:val="22"/>
          <w:szCs w:val="22"/>
          <w:color w:val="auto"/>
        </w:rPr>
        <w:t>) shall not be construed to relieve Seller from any of its obligations under this Agreement.</w:t>
      </w:r>
    </w:p>
    <w:p>
      <w:pPr>
        <w:spacing w:after="0" w:line="17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Transferred Assets Subject to Third-Party Consent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557"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sale, conveyance, assignment or transfer or attempted sale, conveyance, assignment or transfer to Buyer of any Transferred Asset or Assumed Liability would require any governmental or Third Party consent, authorization,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9" w:name="page150"/>
    <w:bookmarkEnd w:id="149"/>
    <w:p>
      <w:pPr>
        <w:jc w:val="both"/>
        <w:ind w:left="3"/>
        <w:spacing w:after="0" w:line="233" w:lineRule="auto"/>
        <w:rPr>
          <w:sz w:val="20"/>
          <w:szCs w:val="20"/>
          <w:color w:val="auto"/>
        </w:rPr>
      </w:pPr>
      <w:r>
        <w:rPr>
          <w:rFonts w:ascii="Times New Roman" w:cs="Times New Roman" w:eastAsia="Times New Roman" w:hAnsi="Times New Roman"/>
          <w:sz w:val="22"/>
          <w:szCs w:val="22"/>
          <w:color w:val="auto"/>
        </w:rPr>
        <w:t>approval or waiver (each, a “</w:t>
      </w:r>
      <w:r>
        <w:rPr>
          <w:rFonts w:ascii="Times New Roman" w:cs="Times New Roman" w:eastAsia="Times New Roman" w:hAnsi="Times New Roman"/>
          <w:sz w:val="22"/>
          <w:szCs w:val="22"/>
          <w:b w:val="1"/>
          <w:bCs w:val="1"/>
          <w:color w:val="auto"/>
        </w:rPr>
        <w:t>Transfer Approval</w:t>
      </w:r>
      <w:r>
        <w:rPr>
          <w:rFonts w:ascii="Times New Roman" w:cs="Times New Roman" w:eastAsia="Times New Roman" w:hAnsi="Times New Roman"/>
          <w:sz w:val="22"/>
          <w:szCs w:val="22"/>
          <w:color w:val="auto"/>
        </w:rPr>
        <w:t>” and such Transferred Asset or Assumed Liability subject to such Transfer Approval, the “</w:t>
      </w:r>
      <w:r>
        <w:rPr>
          <w:rFonts w:ascii="Times New Roman" w:cs="Times New Roman" w:eastAsia="Times New Roman" w:hAnsi="Times New Roman"/>
          <w:sz w:val="22"/>
          <w:szCs w:val="22"/>
          <w:b w:val="1"/>
          <w:bCs w:val="1"/>
          <w:color w:val="auto"/>
        </w:rPr>
        <w:t>Unassigned Right</w:t>
      </w:r>
      <w:r>
        <w:rPr>
          <w:rFonts w:ascii="Times New Roman" w:cs="Times New Roman" w:eastAsia="Times New Roman" w:hAnsi="Times New Roman"/>
          <w:sz w:val="22"/>
          <w:szCs w:val="22"/>
          <w:color w:val="auto"/>
        </w:rPr>
        <w:t xml:space="preserve">”) and such Transfer Approval shall not have been obtained prior to the Closing, this Agreement shall not constitute a sale, conveyance, assignment or transfer thereof. With respect to any such Transferred Contract, during the period commencing on the Closing Date and continuing until the earlier of (A) the [**] of the later of (1) the Closing Date or (2) the Contract Expiration Date, the Parties shall use commercially reasonable efforts and cooperate with each other to obtain promptly such Transfer Approvals with respect to such Unassigned Right;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Seller nor the Selling Affiliates shall be required to pay any consideration, or to commence, defend, or participate in any Litigation or offer or grant any financial or other accommodation to any Third Party in connection with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providing administrative assistance to effectuate a Transfer Approval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administrative actions of either Party to enter into a new agreement to account for Buyer’s purchase of the Unassigned Rights in the applicable Transferred Contract) will not be deemed an accommodation to any Third Party. Notwithstanding the foregoing, and for the avoidance of doubt, if any such Transfer Approval is obtained following the Closing Date with respect to any Transferred Asset, Seller or the Selling Affiliates, as applicable, shall promptly assign, convey and transfer any such Transferred Asset to Buyer at no additional cost.</w:t>
      </w:r>
    </w:p>
    <w:p>
      <w:pPr>
        <w:spacing w:after="0" w:line="184" w:lineRule="exact"/>
        <w:rPr>
          <w:sz w:val="20"/>
          <w:szCs w:val="20"/>
          <w:color w:val="auto"/>
        </w:rPr>
      </w:pPr>
    </w:p>
    <w:p>
      <w:pPr>
        <w:ind w:left="1803" w:hanging="306"/>
        <w:spacing w:after="0"/>
        <w:tabs>
          <w:tab w:leader="none" w:pos="1803"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any Ancillary Agreement, from the Closing Date until the earlier of</w:t>
      </w:r>
    </w:p>
    <w:p>
      <w:pPr>
        <w:spacing w:after="0" w:line="14" w:lineRule="exact"/>
        <w:rPr>
          <w:rFonts w:ascii="Times New Roman" w:cs="Times New Roman" w:eastAsia="Times New Roman" w:hAnsi="Times New Roman"/>
          <w:sz w:val="22"/>
          <w:szCs w:val="22"/>
          <w:color w:val="auto"/>
        </w:rPr>
      </w:pPr>
    </w:p>
    <w:p>
      <w:pPr>
        <w:jc w:val="both"/>
        <w:ind w:left="3" w:hanging="3"/>
        <w:spacing w:after="0" w:line="242" w:lineRule="auto"/>
        <w:tabs>
          <w:tab w:leader="none" w:pos="319"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Contract Expiration Date, if applicable, or (y) the date a Transfer Approval with respect to an Unassigned Right is obtained, Seller shall, and shall cause the Selling Affiliates to, use commercially reasonable efforts to (A) maintain the effectiveness of, and to the extent required by the terms of the applicable Transferred Asset, operate or act in respect of such Transferred Asset in all material respects in the ordinary course of business consistent with past practice and taking into account the transactions contemplated by this Agreement and (B) enforce, at Buyer’s written request, or allow Buyer and its Affiliates to enforce, in each case at Buyer’s cost, any rights of the Seller or Selling Affiliates under or in respect of any such Transferred Asset against the other Party or parties thereto. In addition, Seller and Buyer shall, and shall cause their respective Affiliates to, cooperate in an arrangement, reasonable and lawful as to Seller and Buyer, designed to provide Buyer and its Affiliates the benefits arising under or resulting from such Transferred Asset, which arrangement shall include Seller consulting with Buyer as to the operation of or actions to be taken in respect of such Transferred Asset, except as prohibited by Law. Seller shall, and shall cause the Selling Affiliates to, without further consideration therefor, pay and remit to Buyer promptly all monies, rights and other consideration in respect of such performance as promptly as practicable after receipt thereof. Buyer shall pay, perform and discharge fully, promptly when due, all of the obligations of Seller or the Selling Affiliates in respect of such performance (other than obligations arising out of a breach by Seller or the Selling Affiliate that did not occur due to any action directed by Buyer or any of its Affiliates to be taken or not to be taken), and Buyer shall be responsible for all Assumed Liabilities related thereto.</w:t>
      </w:r>
    </w:p>
    <w:p>
      <w:pPr>
        <w:spacing w:after="0" w:line="184" w:lineRule="exact"/>
        <w:rPr>
          <w:sz w:val="20"/>
          <w:szCs w:val="20"/>
          <w:color w:val="auto"/>
        </w:rPr>
      </w:pPr>
    </w:p>
    <w:p>
      <w:pPr>
        <w:jc w:val="both"/>
        <w:ind w:left="3" w:firstLine="1497"/>
        <w:spacing w:after="0" w:line="244" w:lineRule="auto"/>
        <w:rPr>
          <w:sz w:val="20"/>
          <w:szCs w:val="20"/>
          <w:color w:val="auto"/>
        </w:rPr>
      </w:pPr>
      <w:r>
        <w:rPr>
          <w:rFonts w:ascii="Times New Roman" w:cs="Times New Roman" w:eastAsia="Times New Roman" w:hAnsi="Times New Roman"/>
          <w:sz w:val="22"/>
          <w:szCs w:val="22"/>
          <w:color w:val="auto"/>
        </w:rPr>
        <w:t>(iii)Under no circumstances shall the Upfront Consideration be reduced or Seller or the Selling Affiliates be subject to any liability or indemnification under this Agreement solely as a result of the failure to obtain any Transfer Approval so long as Seller</w:t>
      </w:r>
    </w:p>
    <w:p>
      <w:pPr>
        <w:spacing w:after="0" w:line="376"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607060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4" w:right="339" w:bottom="1440" w:gutter="0" w:footer="0" w:header="0"/>
        </w:sectPr>
      </w:pPr>
    </w:p>
    <w:bookmarkStart w:id="150" w:name="page151"/>
    <w:bookmarkEnd w:id="150"/>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 xml:space="preserve">has fulfilled its obligations under this Agreement with respect thereto, including its obligations under this Section 1.1(g). Buyer further agrees that no representation, warranty, or covenant of Seller contained in this Agreement shall be breached or deemed breached solely as a result of the failure to obtain any Transfer Approval with respect to an Unassigned Right. Notwithstanding anything herein to the contrary,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(and not this </w:t>
      </w:r>
      <w:r>
        <w:rPr>
          <w:rFonts w:ascii="Times New Roman" w:cs="Times New Roman" w:eastAsia="Times New Roman" w:hAnsi="Times New Roman"/>
          <w:sz w:val="22"/>
          <w:szCs w:val="22"/>
          <w:u w:val="single" w:color="auto"/>
          <w:color w:val="auto"/>
        </w:rPr>
        <w:t>Section 1.1(g)</w:t>
      </w:r>
      <w:r>
        <w:rPr>
          <w:rFonts w:ascii="Times New Roman" w:cs="Times New Roman" w:eastAsia="Times New Roman" w:hAnsi="Times New Roman"/>
          <w:sz w:val="22"/>
          <w:szCs w:val="22"/>
          <w:color w:val="auto"/>
        </w:rPr>
        <w:t>) shall govern the transfer of any Shared Contracts.</w:t>
      </w:r>
    </w:p>
    <w:p>
      <w:pPr>
        <w:spacing w:after="0" w:line="177" w:lineRule="exact"/>
        <w:rPr>
          <w:sz w:val="20"/>
          <w:szCs w:val="20"/>
          <w:color w:val="auto"/>
        </w:rPr>
      </w:pPr>
    </w:p>
    <w:p>
      <w:pPr>
        <w:jc w:val="both"/>
        <w:ind w:left="760" w:firstLine="1497"/>
        <w:spacing w:after="0" w:line="234" w:lineRule="auto"/>
        <w:rPr>
          <w:sz w:val="20"/>
          <w:szCs w:val="20"/>
          <w:color w:val="auto"/>
        </w:rPr>
      </w:pPr>
      <w:r>
        <w:rPr>
          <w:rFonts w:ascii="Times New Roman" w:cs="Times New Roman" w:eastAsia="Times New Roman" w:hAnsi="Times New Roman"/>
          <w:sz w:val="22"/>
          <w:szCs w:val="22"/>
          <w:color w:val="auto"/>
        </w:rPr>
        <w:t xml:space="preserve">(iv)To the extent any Transferred Contract that provides Seller or the Selling Affiliate, as the case may be, the ability to extend such Transferred Contract, Buyer may request, by written notice no later than [**] prior to the date such extension must be triggered, such Seller or Selling Affiliate to exercise such extension (subject to the terms and conditions of the relevant Transferred Contract), in which case the Contract Expiration Date shall be extended in accordance with such extension;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more than one such extension (whether formally requested from the applicable Third Party by Seller or the applicable Selling Affiliate or by way of an automatic or evergreen extension provision contained in such Transferred Contract) may be requested by Buyer with respect to any particular Transferred Contract;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Seller shall provide written notice to Buyer no later than [**] prior to the date such extension must be triggered.</w:t>
      </w:r>
    </w:p>
    <w:p>
      <w:pPr>
        <w:spacing w:after="0" w:line="183" w:lineRule="exact"/>
        <w:rPr>
          <w:sz w:val="20"/>
          <w:szCs w:val="20"/>
          <w:color w:val="auto"/>
        </w:rPr>
      </w:pPr>
    </w:p>
    <w:p>
      <w:pPr>
        <w:jc w:val="both"/>
        <w:ind w:firstLine="1505"/>
        <w:spacing w:after="0" w:line="238" w:lineRule="auto"/>
        <w:tabs>
          <w:tab w:leader="none" w:pos="203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Buyer’s Recording and Similar Responsibilities</w:t>
      </w:r>
      <w:r>
        <w:rPr>
          <w:rFonts w:ascii="Times New Roman" w:cs="Times New Roman" w:eastAsia="Times New Roman" w:hAnsi="Times New Roman"/>
          <w:sz w:val="22"/>
          <w:szCs w:val="22"/>
          <w:color w:val="auto"/>
        </w:rPr>
        <w:t xml:space="preserve">. Notwithstanding the foregoing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Sale and Purchase</w:t>
      </w:r>
      <w:r>
        <w:rPr>
          <w:rFonts w:ascii="Times New Roman" w:cs="Times New Roman" w:eastAsia="Times New Roman" w:hAnsi="Times New Roman"/>
          <w:sz w:val="22"/>
          <w:szCs w:val="22"/>
          <w:color w:val="auto"/>
        </w:rPr>
        <w:t xml:space="preserve">), it shall be Buyer’s responsibility (i) to prepare the applicable Patent Right assignments, which shall be in the form attached to this Agreement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and to record such assignments following execution thereof by Seller or a Selling Affiliate at the Closing and (ii) to bear the fees and other costs in accordance with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Withholding</w:t>
      </w:r>
      <w:r>
        <w:rPr>
          <w:rFonts w:ascii="Times New Roman" w:cs="Times New Roman" w:eastAsia="Times New Roman" w:hAnsi="Times New Roman"/>
          <w:sz w:val="22"/>
          <w:szCs w:val="22"/>
          <w:color w:val="auto"/>
        </w:rPr>
        <w:t>) and any Taxes arising from such activities.</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1.2</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The closing of the sale and purchase of the Transferred Assets and the assumption of the Assumed Liabilities (the “</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shall take place remotely on the date hereof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through the exchange of electronic copies of duly executed documents, of the documents and agreements contemplated herein. At the Closing:</w:t>
      </w:r>
    </w:p>
    <w:p>
      <w:pPr>
        <w:spacing w:after="0" w:line="173" w:lineRule="exact"/>
        <w:rPr>
          <w:sz w:val="20"/>
          <w:szCs w:val="20"/>
          <w:color w:val="auto"/>
        </w:rPr>
      </w:pPr>
    </w:p>
    <w:p>
      <w:pPr>
        <w:ind w:left="2040" w:hanging="535"/>
        <w:spacing w:after="0"/>
        <w:tabs>
          <w:tab w:leader="none" w:pos="20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deliver or cause to be delivered to Buyer (unless previously delivered), the following:</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executed counterparts of:</w:t>
      </w:r>
    </w:p>
    <w:p>
      <w:pPr>
        <w:spacing w:after="0" w:line="206" w:lineRule="exact"/>
        <w:rPr>
          <w:rFonts w:ascii="Times New Roman" w:cs="Times New Roman" w:eastAsia="Times New Roman" w:hAnsi="Times New Roman"/>
          <w:sz w:val="22"/>
          <w:szCs w:val="22"/>
          <w:color w:val="auto"/>
        </w:rPr>
      </w:pPr>
    </w:p>
    <w:p>
      <w:pPr>
        <w:ind w:left="4080" w:hanging="328"/>
        <w:spacing w:after="0"/>
        <w:tabs>
          <w:tab w:leader="none" w:pos="4080"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and Assumption Agreement;</w:t>
      </w:r>
    </w:p>
    <w:p>
      <w:pPr>
        <w:spacing w:after="0" w:line="206" w:lineRule="exact"/>
        <w:rPr>
          <w:rFonts w:ascii="Times New Roman" w:cs="Times New Roman" w:eastAsia="Times New Roman" w:hAnsi="Times New Roman"/>
          <w:sz w:val="22"/>
          <w:szCs w:val="22"/>
          <w:color w:val="auto"/>
        </w:rPr>
      </w:pPr>
    </w:p>
    <w:p>
      <w:pPr>
        <w:ind w:left="4080" w:hanging="328"/>
        <w:spacing w:after="0"/>
        <w:tabs>
          <w:tab w:leader="none" w:pos="4080"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Bill of Sale;</w:t>
      </w:r>
    </w:p>
    <w:p>
      <w:pPr>
        <w:spacing w:after="0" w:line="206" w:lineRule="exact"/>
        <w:rPr>
          <w:rFonts w:ascii="Times New Roman" w:cs="Times New Roman" w:eastAsia="Times New Roman" w:hAnsi="Times New Roman"/>
          <w:sz w:val="22"/>
          <w:szCs w:val="22"/>
          <w:color w:val="auto"/>
        </w:rPr>
      </w:pPr>
    </w:p>
    <w:p>
      <w:pPr>
        <w:ind w:left="4080" w:hanging="328"/>
        <w:spacing w:after="0"/>
        <w:tabs>
          <w:tab w:leader="none" w:pos="4080"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Patent Assignment;</w:t>
      </w:r>
    </w:p>
    <w:p>
      <w:pPr>
        <w:spacing w:after="0" w:line="206" w:lineRule="exact"/>
        <w:rPr>
          <w:rFonts w:ascii="Times New Roman" w:cs="Times New Roman" w:eastAsia="Times New Roman" w:hAnsi="Times New Roman"/>
          <w:sz w:val="22"/>
          <w:szCs w:val="22"/>
          <w:color w:val="auto"/>
        </w:rPr>
      </w:pPr>
    </w:p>
    <w:p>
      <w:pPr>
        <w:ind w:left="4080" w:hanging="328"/>
        <w:spacing w:after="0"/>
        <w:tabs>
          <w:tab w:leader="none" w:pos="4080"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License Agreement Novation Agreement;</w:t>
      </w:r>
    </w:p>
    <w:p>
      <w:pPr>
        <w:spacing w:after="0" w:line="206" w:lineRule="exact"/>
        <w:rPr>
          <w:rFonts w:ascii="Times New Roman" w:cs="Times New Roman" w:eastAsia="Times New Roman" w:hAnsi="Times New Roman"/>
          <w:sz w:val="22"/>
          <w:szCs w:val="22"/>
          <w:color w:val="auto"/>
        </w:rPr>
      </w:pPr>
    </w:p>
    <w:p>
      <w:pPr>
        <w:ind w:left="4080" w:hanging="328"/>
        <w:spacing w:after="0"/>
        <w:tabs>
          <w:tab w:leader="none" w:pos="4080"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any other Ancillary Agreements to which Seller or the Selling Affiliates is a</w:t>
      </w:r>
    </w:p>
    <w:p>
      <w:pPr>
        <w:spacing w:after="0" w:line="14" w:lineRule="exact"/>
        <w:rPr>
          <w:rFonts w:ascii="Times New Roman" w:cs="Times New Roman" w:eastAsia="Times New Roman" w:hAnsi="Times New Roman"/>
          <w:sz w:val="22"/>
          <w:szCs w:val="22"/>
          <w:color w:val="auto"/>
        </w:rPr>
      </w:pPr>
    </w:p>
    <w:p>
      <w:pPr>
        <w:ind w:left="22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party; and</w:t>
      </w:r>
    </w:p>
    <w:p>
      <w:pPr>
        <w:spacing w:after="0" w:line="182"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Security Interest Release;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1" w:name="page152"/>
    <w:bookmarkEnd w:id="151"/>
    <w:p>
      <w:pPr>
        <w:jc w:val="both"/>
        <w:ind w:left="760" w:right="2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(iii)evidence that requests for consents to assign of each Transferred Contract set forth on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2.3(b)(1)</w:t>
      </w:r>
      <w:r>
        <w:rPr>
          <w:rFonts w:ascii="Times New Roman" w:cs="Times New Roman" w:eastAsia="Times New Roman" w:hAnsi="Times New Roman"/>
          <w:sz w:val="22"/>
          <w:szCs w:val="22"/>
          <w:color w:val="auto"/>
        </w:rPr>
        <w:t xml:space="preserve"> of the Seller Disclosure Letter have been sent to the applicable Third Party thereto;</w:t>
      </w:r>
    </w:p>
    <w:p>
      <w:pPr>
        <w:spacing w:after="0" w:line="158" w:lineRule="exact"/>
        <w:rPr>
          <w:sz w:val="20"/>
          <w:szCs w:val="20"/>
          <w:color w:val="auto"/>
        </w:rPr>
      </w:pPr>
    </w:p>
    <w:p>
      <w:pPr>
        <w:jc w:val="both"/>
        <w:ind w:left="760" w:firstLine="1497"/>
        <w:spacing w:after="0" w:line="244" w:lineRule="auto"/>
        <w:rPr>
          <w:sz w:val="20"/>
          <w:szCs w:val="20"/>
          <w:color w:val="auto"/>
        </w:rPr>
      </w:pPr>
      <w:r>
        <w:rPr>
          <w:rFonts w:ascii="Times New Roman" w:cs="Times New Roman" w:eastAsia="Times New Roman" w:hAnsi="Times New Roman"/>
          <w:sz w:val="22"/>
          <w:szCs w:val="22"/>
          <w:color w:val="auto"/>
        </w:rPr>
        <w:t>(iv)evidence reasonably satisfactory to Buyer that a written notice of assignment for each Transferred Contract set forth on Section 2.3(b)(3) of the Seller Disclosure Letter was delivered to the applicable Third Party thereto prior to or on the Closing Date;</w:t>
      </w:r>
    </w:p>
    <w:p>
      <w:pPr>
        <w:spacing w:after="0" w:line="173" w:lineRule="exact"/>
        <w:rPr>
          <w:sz w:val="20"/>
          <w:szCs w:val="20"/>
          <w:color w:val="auto"/>
        </w:rPr>
      </w:pPr>
    </w:p>
    <w:p>
      <w:pPr>
        <w:ind w:left="760" w:right="20" w:firstLine="1494"/>
        <w:spacing w:after="0" w:line="258" w:lineRule="auto"/>
        <w:tabs>
          <w:tab w:leader="none" w:pos="2557"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IRS Form W-9 properly executed and completed by each Selling Affiliate that owns any Transferred Asset; and</w:t>
      </w:r>
    </w:p>
    <w:p>
      <w:pPr>
        <w:spacing w:after="0" w:line="158" w:lineRule="exact"/>
        <w:rPr>
          <w:sz w:val="20"/>
          <w:szCs w:val="20"/>
          <w:color w:val="auto"/>
        </w:rPr>
      </w:pPr>
    </w:p>
    <w:p>
      <w:pPr>
        <w:jc w:val="both"/>
        <w:ind w:left="760" w:firstLine="1497"/>
        <w:spacing w:after="0" w:line="238" w:lineRule="auto"/>
        <w:rPr>
          <w:sz w:val="20"/>
          <w:szCs w:val="20"/>
          <w:color w:val="auto"/>
        </w:rPr>
      </w:pPr>
      <w:r>
        <w:rPr>
          <w:rFonts w:ascii="Times New Roman" w:cs="Times New Roman" w:eastAsia="Times New Roman" w:hAnsi="Times New Roman"/>
          <w:sz w:val="22"/>
          <w:szCs w:val="22"/>
          <w:color w:val="auto"/>
        </w:rPr>
        <w:t>(vi)a certificate, dated as of the Closing Date and signed by the secretary or equivalent officer of the Seller (in such officer’s capacity as such an officer and not in his or her individual capacity), certifying to Buyer that attached to such certificate are copies of the resolutions duly adopted by directors of Seller authorizing the execution, delivery and performance of this Agreement and each of the Ancillary Agreements and the consummation of the transactions contemplated hereby and thereby.</w:t>
      </w:r>
    </w:p>
    <w:p>
      <w:pPr>
        <w:spacing w:after="0" w:line="177" w:lineRule="exact"/>
        <w:rPr>
          <w:sz w:val="20"/>
          <w:szCs w:val="20"/>
          <w:color w:val="auto"/>
        </w:rPr>
      </w:pPr>
    </w:p>
    <w:p>
      <w:pPr>
        <w:ind w:firstLine="1505"/>
        <w:spacing w:after="0" w:line="258" w:lineRule="auto"/>
        <w:tabs>
          <w:tab w:leader="none" w:pos="203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deliver or cause to be delivered to Seller, or as designated by Seller, one or more of the Selling Affiliates (unless previously delivered), the following:</w:t>
      </w:r>
    </w:p>
    <w:p>
      <w:pPr>
        <w:spacing w:after="0" w:line="158"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Upfront Closing Consideration;</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executed counterparts of:</w:t>
      </w:r>
    </w:p>
    <w:p>
      <w:pPr>
        <w:spacing w:after="0" w:line="206" w:lineRule="exact"/>
        <w:rPr>
          <w:rFonts w:ascii="Times New Roman" w:cs="Times New Roman" w:eastAsia="Times New Roman" w:hAnsi="Times New Roman"/>
          <w:sz w:val="22"/>
          <w:szCs w:val="22"/>
          <w:color w:val="auto"/>
        </w:rPr>
      </w:pPr>
    </w:p>
    <w:p>
      <w:pPr>
        <w:ind w:left="4080" w:hanging="328"/>
        <w:spacing w:after="0"/>
        <w:tabs>
          <w:tab w:leader="none" w:pos="4080"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and Assumption Agreement;</w:t>
      </w:r>
    </w:p>
    <w:p>
      <w:pPr>
        <w:spacing w:after="0" w:line="206" w:lineRule="exact"/>
        <w:rPr>
          <w:rFonts w:ascii="Times New Roman" w:cs="Times New Roman" w:eastAsia="Times New Roman" w:hAnsi="Times New Roman"/>
          <w:sz w:val="22"/>
          <w:szCs w:val="22"/>
          <w:color w:val="auto"/>
        </w:rPr>
      </w:pPr>
    </w:p>
    <w:p>
      <w:pPr>
        <w:ind w:left="4080" w:hanging="328"/>
        <w:spacing w:after="0"/>
        <w:tabs>
          <w:tab w:leader="none" w:pos="4080"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Bill of Sale;</w:t>
      </w:r>
    </w:p>
    <w:p>
      <w:pPr>
        <w:spacing w:after="0" w:line="206" w:lineRule="exact"/>
        <w:rPr>
          <w:rFonts w:ascii="Times New Roman" w:cs="Times New Roman" w:eastAsia="Times New Roman" w:hAnsi="Times New Roman"/>
          <w:sz w:val="22"/>
          <w:szCs w:val="22"/>
          <w:color w:val="auto"/>
        </w:rPr>
      </w:pPr>
    </w:p>
    <w:p>
      <w:pPr>
        <w:ind w:left="4080" w:hanging="328"/>
        <w:spacing w:after="0"/>
        <w:tabs>
          <w:tab w:leader="none" w:pos="4080"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Patent Assignment;</w:t>
      </w:r>
    </w:p>
    <w:p>
      <w:pPr>
        <w:spacing w:after="0" w:line="206" w:lineRule="exact"/>
        <w:rPr>
          <w:rFonts w:ascii="Times New Roman" w:cs="Times New Roman" w:eastAsia="Times New Roman" w:hAnsi="Times New Roman"/>
          <w:sz w:val="22"/>
          <w:szCs w:val="22"/>
          <w:color w:val="auto"/>
        </w:rPr>
      </w:pPr>
    </w:p>
    <w:p>
      <w:pPr>
        <w:ind w:left="4080" w:hanging="328"/>
        <w:spacing w:after="0"/>
        <w:tabs>
          <w:tab w:leader="none" w:pos="4080"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License Agreement Novation Agreement; and</w:t>
      </w:r>
    </w:p>
    <w:p>
      <w:pPr>
        <w:spacing w:after="0" w:line="206" w:lineRule="exact"/>
        <w:rPr>
          <w:rFonts w:ascii="Times New Roman" w:cs="Times New Roman" w:eastAsia="Times New Roman" w:hAnsi="Times New Roman"/>
          <w:sz w:val="22"/>
          <w:szCs w:val="22"/>
          <w:color w:val="auto"/>
        </w:rPr>
      </w:pPr>
    </w:p>
    <w:p>
      <w:pPr>
        <w:ind w:left="4080" w:hanging="328"/>
        <w:spacing w:after="0"/>
        <w:tabs>
          <w:tab w:leader="none" w:pos="4080"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any other Ancillary Agreements to which Buyer or any of its Affiliates is a</w:t>
      </w:r>
    </w:p>
    <w:p>
      <w:pPr>
        <w:spacing w:after="0" w:line="14" w:lineRule="exact"/>
        <w:rPr>
          <w:rFonts w:ascii="Times New Roman" w:cs="Times New Roman" w:eastAsia="Times New Roman" w:hAnsi="Times New Roman"/>
          <w:sz w:val="22"/>
          <w:szCs w:val="22"/>
          <w:color w:val="auto"/>
        </w:rPr>
      </w:pPr>
    </w:p>
    <w:p>
      <w:pPr>
        <w:ind w:left="22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party;</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(iii)a duly executed copy of the A&amp;R License Agreement; and</w:t>
      </w:r>
    </w:p>
    <w:p>
      <w:pPr>
        <w:spacing w:after="0" w:line="206" w:lineRule="exact"/>
        <w:rPr>
          <w:sz w:val="20"/>
          <w:szCs w:val="20"/>
          <w:color w:val="auto"/>
        </w:rPr>
      </w:pPr>
    </w:p>
    <w:p>
      <w:pPr>
        <w:jc w:val="both"/>
        <w:ind w:left="760" w:firstLine="1497"/>
        <w:spacing w:after="0" w:line="238" w:lineRule="auto"/>
        <w:rPr>
          <w:sz w:val="20"/>
          <w:szCs w:val="20"/>
          <w:color w:val="auto"/>
        </w:rPr>
      </w:pPr>
      <w:r>
        <w:rPr>
          <w:rFonts w:ascii="Times New Roman" w:cs="Times New Roman" w:eastAsia="Times New Roman" w:hAnsi="Times New Roman"/>
          <w:sz w:val="22"/>
          <w:szCs w:val="22"/>
          <w:color w:val="auto"/>
        </w:rPr>
        <w:t>(iv)a certificate, dated as of the Closing Date and signed by the secretary or equivalent officer of the Buyer (in such officer’s capacity as such an officer and not in his or her individual capacity), certifying to Seller that attached to such certificate are copies of the resolutions duly adopted by directors of Buyer authorizing the execution, delivery and performance of this Agreement and each of the Ancillary Agreements and the consummation of the transactions contemplated hereby and thereby.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1.3</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2" w:name="page153"/>
    <w:bookmarkEnd w:id="152"/>
    <w:p>
      <w:pPr>
        <w:jc w:val="both"/>
        <w:ind w:firstLine="1505"/>
        <w:spacing w:after="0" w:line="244" w:lineRule="auto"/>
        <w:tabs>
          <w:tab w:leader="none" w:pos="203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In consideration of the sale and transfer of the Transferred Assets from Seller to Buyer at Closing, Buyer agrees to (y) assume, satisfy, and discharge the Assumed Liabilities and (z) pay the following consideration to Seller:</w:t>
      </w:r>
    </w:p>
    <w:p>
      <w:pPr>
        <w:spacing w:after="0" w:line="173"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557"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Buyer shall pay or cause to be paid to Seller, by wire transfer of immediately available funds to the account designated in writing by Seller on or prior to the Closing Date, an amount equal to $7,000,000 (the “</w:t>
      </w:r>
      <w:r>
        <w:rPr>
          <w:rFonts w:ascii="Times New Roman" w:cs="Times New Roman" w:eastAsia="Times New Roman" w:hAnsi="Times New Roman"/>
          <w:sz w:val="22"/>
          <w:szCs w:val="22"/>
          <w:b w:val="1"/>
          <w:bCs w:val="1"/>
          <w:color w:val="auto"/>
        </w:rPr>
        <w:t>Upfront Closing Consideration</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760" w:firstLine="1494"/>
        <w:spacing w:after="0" w:line="238" w:lineRule="auto"/>
        <w:tabs>
          <w:tab w:leader="none" w:pos="2557"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sixth-month anniversary of the Closing Date (or, if such date falls on a day that is not a Business Day, then the first Business Day following such anniversary), Buyer shall pay or cause to be paid to Seller, by wire transfer of immediately available funds to the account designated in writing by Seller prior to such anniversary, an amount equal to $3,000,000 by wire transfer of immediately available funds (the “</w:t>
      </w:r>
      <w:r>
        <w:rPr>
          <w:rFonts w:ascii="Times New Roman" w:cs="Times New Roman" w:eastAsia="Times New Roman" w:hAnsi="Times New Roman"/>
          <w:sz w:val="22"/>
          <w:szCs w:val="22"/>
          <w:b w:val="1"/>
          <w:bCs w:val="1"/>
          <w:color w:val="auto"/>
        </w:rPr>
        <w:t>Upfront Second Consideration</w:t>
      </w:r>
      <w:r>
        <w:rPr>
          <w:rFonts w:ascii="Times New Roman" w:cs="Times New Roman" w:eastAsia="Times New Roman" w:hAnsi="Times New Roman"/>
          <w:sz w:val="22"/>
          <w:szCs w:val="22"/>
          <w:color w:val="auto"/>
        </w:rPr>
        <w:t>” and, together with the Upfront Closing Consideration, the “</w:t>
      </w:r>
      <w:r>
        <w:rPr>
          <w:rFonts w:ascii="Times New Roman" w:cs="Times New Roman" w:eastAsia="Times New Roman" w:hAnsi="Times New Roman"/>
          <w:sz w:val="22"/>
          <w:szCs w:val="22"/>
          <w:b w:val="1"/>
          <w:bCs w:val="1"/>
          <w:color w:val="auto"/>
        </w:rPr>
        <w:t>Upfront Consideration</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760" w:firstLine="1497"/>
        <w:spacing w:after="0" w:line="244" w:lineRule="auto"/>
        <w:rPr>
          <w:sz w:val="20"/>
          <w:szCs w:val="20"/>
          <w:color w:val="auto"/>
        </w:rPr>
      </w:pPr>
      <w:r>
        <w:rPr>
          <w:rFonts w:ascii="Times New Roman" w:cs="Times New Roman" w:eastAsia="Times New Roman" w:hAnsi="Times New Roman"/>
          <w:sz w:val="22"/>
          <w:szCs w:val="22"/>
          <w:color w:val="auto"/>
        </w:rPr>
        <w:t>(iii)when due and payable, Buyer shall pay or cause to be paid to Seller, each of the Development and Regulatory Milestone Payments, the Commercial Milestone Payments, and the Royalties, as applicable, in accordance with this Agreement.</w:t>
      </w:r>
    </w:p>
    <w:p>
      <w:pPr>
        <w:spacing w:after="0" w:line="173"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1"/>
          <w:szCs w:val="21"/>
          <w:color w:val="auto"/>
        </w:rPr>
        <w:t>(b)</w:t>
      </w:r>
      <w:r>
        <w:rPr>
          <w:sz w:val="20"/>
          <w:szCs w:val="20"/>
          <w:color w:val="auto"/>
        </w:rPr>
        <w:tab/>
      </w:r>
      <w:r>
        <w:rPr>
          <w:rFonts w:ascii="Times New Roman" w:cs="Times New Roman" w:eastAsia="Times New Roman" w:hAnsi="Times New Roman"/>
          <w:sz w:val="21"/>
          <w:szCs w:val="21"/>
          <w:u w:val="single" w:color="auto"/>
          <w:color w:val="auto"/>
        </w:rPr>
        <w:t>Upfront Consideration</w:t>
      </w:r>
      <w:r>
        <w:rPr>
          <w:rFonts w:ascii="Times New Roman" w:cs="Times New Roman" w:eastAsia="Times New Roman" w:hAnsi="Times New Roman"/>
          <w:sz w:val="21"/>
          <w:szCs w:val="21"/>
          <w:color w:val="auto"/>
        </w:rPr>
        <w:t>. The Upfront Consideration shall be noncreditable, nonrefundable and not subject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set-off.</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1.4</w:t>
      </w:r>
      <w:r>
        <w:rPr>
          <w:rFonts w:ascii="Times New Roman" w:cs="Times New Roman" w:eastAsia="Times New Roman" w:hAnsi="Times New Roman"/>
          <w:sz w:val="22"/>
          <w:szCs w:val="22"/>
          <w:u w:val="single" w:color="auto"/>
          <w:color w:val="auto"/>
        </w:rPr>
        <w:t>Contingent Consideration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40" w:hanging="535"/>
        <w:spacing w:after="0"/>
        <w:tabs>
          <w:tab w:leader="none" w:pos="20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Development and Regulatory Milestone Payments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left="760" w:firstLine="1494"/>
        <w:spacing w:after="0" w:line="237" w:lineRule="auto"/>
        <w:tabs>
          <w:tab w:leader="none" w:pos="2557"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the Closing, subject to the remainder of this </w:t>
      </w:r>
      <w:r>
        <w:rPr>
          <w:rFonts w:ascii="Times New Roman" w:cs="Times New Roman" w:eastAsia="Times New Roman" w:hAnsi="Times New Roman"/>
          <w:sz w:val="22"/>
          <w:szCs w:val="22"/>
          <w:u w:val="single" w:color="auto"/>
          <w:color w:val="auto"/>
        </w:rPr>
        <w:t>Section 1.4(a)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Development and Regulatory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Milestone Payments</w:t>
      </w:r>
      <w:r>
        <w:rPr>
          <w:rFonts w:ascii="Times New Roman" w:cs="Times New Roman" w:eastAsia="Times New Roman" w:hAnsi="Times New Roman"/>
          <w:sz w:val="22"/>
          <w:szCs w:val="22"/>
          <w:color w:val="auto"/>
        </w:rPr>
        <w:t>), upon the first achievement by a Buyer Party of each milestone event set forth in the table below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a “</w:t>
      </w:r>
      <w:r>
        <w:rPr>
          <w:rFonts w:ascii="Times New Roman" w:cs="Times New Roman" w:eastAsia="Times New Roman" w:hAnsi="Times New Roman"/>
          <w:sz w:val="22"/>
          <w:szCs w:val="22"/>
          <w:b w:val="1"/>
          <w:bCs w:val="1"/>
          <w:color w:val="auto"/>
        </w:rPr>
        <w:t>Development and Regulatory Milestone Event</w:t>
      </w:r>
      <w:r>
        <w:rPr>
          <w:rFonts w:ascii="Times New Roman" w:cs="Times New Roman" w:eastAsia="Times New Roman" w:hAnsi="Times New Roman"/>
          <w:sz w:val="22"/>
          <w:szCs w:val="22"/>
          <w:color w:val="auto"/>
        </w:rPr>
        <w:t>”), Buyer shall pay, or cause to be paid, by wire transfer of immediately available funds to the Seller an amount equal to the corresponding one- time payment set forth in the table below (each, a “</w:t>
      </w:r>
      <w:r>
        <w:rPr>
          <w:rFonts w:ascii="Times New Roman" w:cs="Times New Roman" w:eastAsia="Times New Roman" w:hAnsi="Times New Roman"/>
          <w:sz w:val="22"/>
          <w:szCs w:val="22"/>
          <w:b w:val="1"/>
          <w:bCs w:val="1"/>
          <w:color w:val="auto"/>
        </w:rPr>
        <w:t>Development and Regulatory Milestone Payment</w:t>
      </w:r>
      <w:r>
        <w:rPr>
          <w:rFonts w:ascii="Times New Roman" w:cs="Times New Roman" w:eastAsia="Times New Roman" w:hAnsi="Times New Roman"/>
          <w:sz w:val="22"/>
          <w:szCs w:val="22"/>
          <w:color w:val="auto"/>
        </w:rPr>
        <w:t xml:space="preserve">”) in accordance with </w:t>
      </w:r>
      <w:r>
        <w:rPr>
          <w:rFonts w:ascii="Times New Roman" w:cs="Times New Roman" w:eastAsia="Times New Roman" w:hAnsi="Times New Roman"/>
          <w:sz w:val="22"/>
          <w:szCs w:val="22"/>
          <w:u w:val="single" w:color="auto"/>
          <w:color w:val="auto"/>
        </w:rPr>
        <w:t>Section 1.4(a)(v)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1.4(a)(vi)</w:t>
      </w:r>
      <w:r>
        <w:rPr>
          <w:rFonts w:ascii="Times New Roman" w:cs="Times New Roman" w:eastAsia="Times New Roman" w:hAnsi="Times New Roman"/>
          <w:sz w:val="22"/>
          <w:szCs w:val="22"/>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780" w:type="dxa"/>
            <w:vAlign w:val="bottom"/>
            <w:tcBorders>
              <w:right w:val="single" w:sz="8" w:color="auto"/>
            </w:tcBorders>
          </w:tcPr>
          <w:p>
            <w:pPr>
              <w:spacing w:after="0"/>
              <w:rPr>
                <w:sz w:val="23"/>
                <w:szCs w:val="23"/>
                <w:color w:val="auto"/>
              </w:rPr>
            </w:pPr>
          </w:p>
        </w:tc>
        <w:tc>
          <w:tcPr>
            <w:tcW w:w="5500" w:type="dxa"/>
            <w:vAlign w:val="bottom"/>
            <w:tcBorders>
              <w:top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Development and Regulatory Milestone Event</w:t>
            </w:r>
          </w:p>
        </w:tc>
        <w:tc>
          <w:tcPr>
            <w:tcW w:w="42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Development and Regulatory Milestone</w:t>
            </w:r>
          </w:p>
        </w:tc>
        <w:tc>
          <w:tcPr>
            <w:tcW w:w="720" w:type="dxa"/>
            <w:vAlign w:val="bottom"/>
          </w:tcPr>
          <w:p>
            <w:pPr>
              <w:spacing w:after="0"/>
              <w:rPr>
                <w:sz w:val="23"/>
                <w:szCs w:val="23"/>
                <w:color w:val="auto"/>
              </w:rPr>
            </w:pPr>
          </w:p>
        </w:tc>
      </w:tr>
      <w:tr>
        <w:trPr>
          <w:trHeight w:val="286"/>
        </w:trPr>
        <w:tc>
          <w:tcPr>
            <w:tcW w:w="78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980" w:type="dxa"/>
            <w:vAlign w:val="bottom"/>
            <w:tcBorders>
              <w:right w:val="single" w:sz="8" w:color="auto"/>
            </w:tcBorders>
          </w:tcPr>
          <w:p>
            <w:pPr>
              <w:spacing w:after="0"/>
              <w:rPr>
                <w:sz w:val="24"/>
                <w:szCs w:val="24"/>
                <w:color w:val="auto"/>
              </w:rPr>
            </w:pPr>
          </w:p>
        </w:tc>
        <w:tc>
          <w:tcPr>
            <w:tcW w:w="42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720" w:type="dxa"/>
            <w:vAlign w:val="bottom"/>
          </w:tcPr>
          <w:p>
            <w:pPr>
              <w:spacing w:after="0"/>
              <w:rPr>
                <w:sz w:val="24"/>
                <w:szCs w:val="24"/>
                <w:color w:val="auto"/>
              </w:rPr>
            </w:pPr>
          </w:p>
        </w:tc>
      </w:tr>
      <w:tr>
        <w:trPr>
          <w:trHeight w:val="72"/>
        </w:trPr>
        <w:tc>
          <w:tcPr>
            <w:tcW w:w="780" w:type="dxa"/>
            <w:vAlign w:val="bottom"/>
            <w:tcBorders>
              <w:right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980" w:type="dxa"/>
            <w:vAlign w:val="bottom"/>
            <w:tcBorders>
              <w:bottom w:val="single" w:sz="8" w:color="auto"/>
              <w:right w:val="single" w:sz="8" w:color="auto"/>
            </w:tcBorders>
          </w:tcPr>
          <w:p>
            <w:pPr>
              <w:spacing w:after="0"/>
              <w:rPr>
                <w:sz w:val="6"/>
                <w:szCs w:val="6"/>
                <w:color w:val="auto"/>
              </w:rPr>
            </w:pPr>
          </w:p>
        </w:tc>
        <w:tc>
          <w:tcPr>
            <w:tcW w:w="4240" w:type="dxa"/>
            <w:vAlign w:val="bottom"/>
            <w:tcBorders>
              <w:bottom w:val="single" w:sz="8" w:color="auto"/>
              <w:right w:val="single" w:sz="8" w:color="auto"/>
            </w:tcBorders>
          </w:tcPr>
          <w:p>
            <w:pPr>
              <w:spacing w:after="0"/>
              <w:rPr>
                <w:sz w:val="6"/>
                <w:szCs w:val="6"/>
                <w:color w:val="auto"/>
              </w:rPr>
            </w:pPr>
          </w:p>
        </w:tc>
        <w:tc>
          <w:tcPr>
            <w:tcW w:w="720" w:type="dxa"/>
            <w:vAlign w:val="bottom"/>
          </w:tcPr>
          <w:p>
            <w:pPr>
              <w:spacing w:after="0"/>
              <w:rPr>
                <w:sz w:val="6"/>
                <w:szCs w:val="6"/>
                <w:color w:val="auto"/>
              </w:rPr>
            </w:pPr>
          </w:p>
        </w:tc>
      </w:tr>
      <w:tr>
        <w:trPr>
          <w:trHeight w:val="286"/>
        </w:trPr>
        <w:tc>
          <w:tcPr>
            <w:tcW w:w="780" w:type="dxa"/>
            <w:vAlign w:val="bottom"/>
            <w:tcBorders>
              <w:right w:val="single" w:sz="8" w:color="auto"/>
            </w:tcBorders>
          </w:tcPr>
          <w:p>
            <w:pPr>
              <w:spacing w:after="0"/>
              <w:rPr>
                <w:sz w:val="24"/>
                <w:szCs w:val="24"/>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w:t>
            </w:r>
          </w:p>
        </w:tc>
        <w:tc>
          <w:tcPr>
            <w:tcW w:w="49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Initiation of a Phase 2 Clinical Trial for a Product</w:t>
            </w:r>
          </w:p>
        </w:tc>
        <w:tc>
          <w:tcPr>
            <w:tcW w:w="4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$2,000,000</w:t>
            </w:r>
          </w:p>
        </w:tc>
        <w:tc>
          <w:tcPr>
            <w:tcW w:w="720" w:type="dxa"/>
            <w:vAlign w:val="bottom"/>
          </w:tcPr>
          <w:p>
            <w:pPr>
              <w:spacing w:after="0"/>
              <w:rPr>
                <w:sz w:val="24"/>
                <w:szCs w:val="24"/>
                <w:color w:val="auto"/>
              </w:rPr>
            </w:pPr>
          </w:p>
        </w:tc>
      </w:tr>
      <w:tr>
        <w:trPr>
          <w:trHeight w:val="299"/>
        </w:trPr>
        <w:tc>
          <w:tcPr>
            <w:tcW w:w="780" w:type="dxa"/>
            <w:vAlign w:val="bottom"/>
            <w:tcBorders>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980" w:type="dxa"/>
            <w:vAlign w:val="bottom"/>
            <w:tcBorders>
              <w:bottom w:val="single" w:sz="8" w:color="auto"/>
              <w:right w:val="single" w:sz="8" w:color="auto"/>
            </w:tcBorders>
          </w:tcPr>
          <w:p>
            <w:pPr>
              <w:spacing w:after="0"/>
              <w:rPr>
                <w:sz w:val="24"/>
                <w:szCs w:val="24"/>
                <w:color w:val="auto"/>
              </w:rPr>
            </w:pPr>
          </w:p>
        </w:tc>
        <w:tc>
          <w:tcPr>
            <w:tcW w:w="4240" w:type="dxa"/>
            <w:vAlign w:val="bottom"/>
            <w:tcBorders>
              <w:bottom w:val="single" w:sz="8" w:color="auto"/>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r>
      <w:tr>
        <w:trPr>
          <w:trHeight w:val="289"/>
        </w:trPr>
        <w:tc>
          <w:tcPr>
            <w:tcW w:w="780" w:type="dxa"/>
            <w:vAlign w:val="bottom"/>
            <w:tcBorders>
              <w:right w:val="single" w:sz="8" w:color="auto"/>
            </w:tcBorders>
          </w:tcPr>
          <w:p>
            <w:pPr>
              <w:spacing w:after="0"/>
              <w:rPr>
                <w:sz w:val="24"/>
                <w:szCs w:val="24"/>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w:t>
            </w:r>
          </w:p>
        </w:tc>
        <w:tc>
          <w:tcPr>
            <w:tcW w:w="49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w:t>
            </w:r>
          </w:p>
        </w:tc>
        <w:tc>
          <w:tcPr>
            <w:tcW w:w="4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720" w:type="dxa"/>
            <w:vAlign w:val="bottom"/>
          </w:tcPr>
          <w:p>
            <w:pPr>
              <w:spacing w:after="0"/>
              <w:rPr>
                <w:sz w:val="24"/>
                <w:szCs w:val="24"/>
                <w:color w:val="auto"/>
              </w:rPr>
            </w:pPr>
          </w:p>
        </w:tc>
      </w:tr>
      <w:tr>
        <w:trPr>
          <w:trHeight w:val="69"/>
        </w:trPr>
        <w:tc>
          <w:tcPr>
            <w:tcW w:w="780" w:type="dxa"/>
            <w:vAlign w:val="bottom"/>
            <w:tcBorders>
              <w:right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980" w:type="dxa"/>
            <w:vAlign w:val="bottom"/>
            <w:tcBorders>
              <w:bottom w:val="single" w:sz="8" w:color="auto"/>
              <w:right w:val="single" w:sz="8" w:color="auto"/>
            </w:tcBorders>
          </w:tcPr>
          <w:p>
            <w:pPr>
              <w:spacing w:after="0"/>
              <w:rPr>
                <w:sz w:val="6"/>
                <w:szCs w:val="6"/>
                <w:color w:val="auto"/>
              </w:rPr>
            </w:pPr>
          </w:p>
        </w:tc>
        <w:tc>
          <w:tcPr>
            <w:tcW w:w="4240" w:type="dxa"/>
            <w:vAlign w:val="bottom"/>
            <w:tcBorders>
              <w:bottom w:val="single" w:sz="8" w:color="auto"/>
              <w:right w:val="single" w:sz="8" w:color="auto"/>
            </w:tcBorders>
          </w:tcPr>
          <w:p>
            <w:pPr>
              <w:spacing w:after="0"/>
              <w:rPr>
                <w:sz w:val="6"/>
                <w:szCs w:val="6"/>
                <w:color w:val="auto"/>
              </w:rPr>
            </w:pPr>
          </w:p>
        </w:tc>
        <w:tc>
          <w:tcPr>
            <w:tcW w:w="720" w:type="dxa"/>
            <w:vAlign w:val="bottom"/>
          </w:tcPr>
          <w:p>
            <w:pPr>
              <w:spacing w:after="0"/>
              <w:rPr>
                <w:sz w:val="6"/>
                <w:szCs w:val="6"/>
                <w:color w:val="auto"/>
              </w:rPr>
            </w:pPr>
          </w:p>
        </w:tc>
      </w:tr>
      <w:tr>
        <w:trPr>
          <w:trHeight w:val="289"/>
        </w:trPr>
        <w:tc>
          <w:tcPr>
            <w:tcW w:w="780" w:type="dxa"/>
            <w:vAlign w:val="bottom"/>
            <w:tcBorders>
              <w:right w:val="single" w:sz="8" w:color="auto"/>
            </w:tcBorders>
          </w:tcPr>
          <w:p>
            <w:pPr>
              <w:spacing w:after="0"/>
              <w:rPr>
                <w:sz w:val="24"/>
                <w:szCs w:val="24"/>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w:t>
            </w:r>
          </w:p>
        </w:tc>
        <w:tc>
          <w:tcPr>
            <w:tcW w:w="49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w:t>
            </w:r>
          </w:p>
        </w:tc>
        <w:tc>
          <w:tcPr>
            <w:tcW w:w="4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720" w:type="dxa"/>
            <w:vAlign w:val="bottom"/>
          </w:tcPr>
          <w:p>
            <w:pPr>
              <w:spacing w:after="0"/>
              <w:rPr>
                <w:sz w:val="24"/>
                <w:szCs w:val="24"/>
                <w:color w:val="auto"/>
              </w:rPr>
            </w:pPr>
          </w:p>
        </w:tc>
      </w:tr>
      <w:tr>
        <w:trPr>
          <w:trHeight w:val="69"/>
        </w:trPr>
        <w:tc>
          <w:tcPr>
            <w:tcW w:w="780" w:type="dxa"/>
            <w:vAlign w:val="bottom"/>
            <w:tcBorders>
              <w:right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980" w:type="dxa"/>
            <w:vAlign w:val="bottom"/>
            <w:tcBorders>
              <w:bottom w:val="single" w:sz="8" w:color="auto"/>
              <w:right w:val="single" w:sz="8" w:color="auto"/>
            </w:tcBorders>
          </w:tcPr>
          <w:p>
            <w:pPr>
              <w:spacing w:after="0"/>
              <w:rPr>
                <w:sz w:val="6"/>
                <w:szCs w:val="6"/>
                <w:color w:val="auto"/>
              </w:rPr>
            </w:pPr>
          </w:p>
        </w:tc>
        <w:tc>
          <w:tcPr>
            <w:tcW w:w="4240" w:type="dxa"/>
            <w:vAlign w:val="bottom"/>
            <w:tcBorders>
              <w:bottom w:val="single" w:sz="8" w:color="auto"/>
              <w:right w:val="single" w:sz="8" w:color="auto"/>
            </w:tcBorders>
          </w:tcPr>
          <w:p>
            <w:pPr>
              <w:spacing w:after="0"/>
              <w:rPr>
                <w:sz w:val="6"/>
                <w:szCs w:val="6"/>
                <w:color w:val="auto"/>
              </w:rPr>
            </w:pPr>
          </w:p>
        </w:tc>
        <w:tc>
          <w:tcPr>
            <w:tcW w:w="720" w:type="dxa"/>
            <w:vAlign w:val="bottom"/>
          </w:tcPr>
          <w:p>
            <w:pPr>
              <w:spacing w:after="0"/>
              <w:rPr>
                <w:sz w:val="6"/>
                <w:szCs w:val="6"/>
                <w:color w:val="auto"/>
              </w:rPr>
            </w:pPr>
          </w:p>
        </w:tc>
      </w:tr>
      <w:tr>
        <w:trPr>
          <w:trHeight w:val="289"/>
        </w:trPr>
        <w:tc>
          <w:tcPr>
            <w:tcW w:w="780" w:type="dxa"/>
            <w:vAlign w:val="bottom"/>
            <w:tcBorders>
              <w:right w:val="single" w:sz="8" w:color="auto"/>
            </w:tcBorders>
          </w:tcPr>
          <w:p>
            <w:pPr>
              <w:spacing w:after="0"/>
              <w:rPr>
                <w:sz w:val="24"/>
                <w:szCs w:val="24"/>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w:t>
            </w:r>
          </w:p>
        </w:tc>
        <w:tc>
          <w:tcPr>
            <w:tcW w:w="49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w:t>
            </w:r>
          </w:p>
        </w:tc>
        <w:tc>
          <w:tcPr>
            <w:tcW w:w="4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720" w:type="dxa"/>
            <w:vAlign w:val="bottom"/>
          </w:tcPr>
          <w:p>
            <w:pPr>
              <w:spacing w:after="0"/>
              <w:rPr>
                <w:sz w:val="24"/>
                <w:szCs w:val="24"/>
                <w:color w:val="auto"/>
              </w:rPr>
            </w:pPr>
          </w:p>
        </w:tc>
      </w:tr>
      <w:tr>
        <w:trPr>
          <w:trHeight w:val="69"/>
        </w:trPr>
        <w:tc>
          <w:tcPr>
            <w:tcW w:w="780" w:type="dxa"/>
            <w:vAlign w:val="bottom"/>
            <w:tcBorders>
              <w:right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980" w:type="dxa"/>
            <w:vAlign w:val="bottom"/>
            <w:tcBorders>
              <w:bottom w:val="single" w:sz="8" w:color="auto"/>
              <w:right w:val="single" w:sz="8" w:color="auto"/>
            </w:tcBorders>
          </w:tcPr>
          <w:p>
            <w:pPr>
              <w:spacing w:after="0"/>
              <w:rPr>
                <w:sz w:val="6"/>
                <w:szCs w:val="6"/>
                <w:color w:val="auto"/>
              </w:rPr>
            </w:pPr>
          </w:p>
        </w:tc>
        <w:tc>
          <w:tcPr>
            <w:tcW w:w="4240" w:type="dxa"/>
            <w:vAlign w:val="bottom"/>
            <w:tcBorders>
              <w:bottom w:val="single" w:sz="8" w:color="auto"/>
              <w:right w:val="single" w:sz="8" w:color="auto"/>
            </w:tcBorders>
          </w:tcPr>
          <w:p>
            <w:pPr>
              <w:spacing w:after="0"/>
              <w:rPr>
                <w:sz w:val="6"/>
                <w:szCs w:val="6"/>
                <w:color w:val="auto"/>
              </w:rPr>
            </w:pPr>
          </w:p>
        </w:tc>
        <w:tc>
          <w:tcPr>
            <w:tcW w:w="720" w:type="dxa"/>
            <w:vAlign w:val="bottom"/>
          </w:tcPr>
          <w:p>
            <w:pPr>
              <w:spacing w:after="0"/>
              <w:rPr>
                <w:sz w:val="6"/>
                <w:szCs w:val="6"/>
                <w:color w:val="auto"/>
              </w:rPr>
            </w:pPr>
          </w:p>
        </w:tc>
      </w:tr>
      <w:tr>
        <w:trPr>
          <w:trHeight w:val="289"/>
        </w:trPr>
        <w:tc>
          <w:tcPr>
            <w:tcW w:w="780" w:type="dxa"/>
            <w:vAlign w:val="bottom"/>
            <w:tcBorders>
              <w:right w:val="single" w:sz="8" w:color="auto"/>
            </w:tcBorders>
          </w:tcPr>
          <w:p>
            <w:pPr>
              <w:spacing w:after="0"/>
              <w:rPr>
                <w:sz w:val="24"/>
                <w:szCs w:val="24"/>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49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w:t>
            </w:r>
          </w:p>
        </w:tc>
        <w:tc>
          <w:tcPr>
            <w:tcW w:w="4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720" w:type="dxa"/>
            <w:vAlign w:val="bottom"/>
          </w:tcPr>
          <w:p>
            <w:pPr>
              <w:spacing w:after="0"/>
              <w:rPr>
                <w:sz w:val="24"/>
                <w:szCs w:val="24"/>
                <w:color w:val="auto"/>
              </w:rPr>
            </w:pPr>
          </w:p>
        </w:tc>
      </w:tr>
      <w:tr>
        <w:trPr>
          <w:trHeight w:val="69"/>
        </w:trPr>
        <w:tc>
          <w:tcPr>
            <w:tcW w:w="780" w:type="dxa"/>
            <w:vAlign w:val="bottom"/>
            <w:tcBorders>
              <w:right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980" w:type="dxa"/>
            <w:vAlign w:val="bottom"/>
            <w:tcBorders>
              <w:bottom w:val="single" w:sz="8" w:color="auto"/>
              <w:right w:val="single" w:sz="8" w:color="auto"/>
            </w:tcBorders>
          </w:tcPr>
          <w:p>
            <w:pPr>
              <w:spacing w:after="0"/>
              <w:rPr>
                <w:sz w:val="6"/>
                <w:szCs w:val="6"/>
                <w:color w:val="auto"/>
              </w:rPr>
            </w:pPr>
          </w:p>
        </w:tc>
        <w:tc>
          <w:tcPr>
            <w:tcW w:w="4240" w:type="dxa"/>
            <w:vAlign w:val="bottom"/>
            <w:tcBorders>
              <w:bottom w:val="single" w:sz="8" w:color="auto"/>
              <w:right w:val="single" w:sz="8" w:color="auto"/>
            </w:tcBorders>
          </w:tcPr>
          <w:p>
            <w:pPr>
              <w:spacing w:after="0"/>
              <w:rPr>
                <w:sz w:val="6"/>
                <w:szCs w:val="6"/>
                <w:color w:val="auto"/>
              </w:rPr>
            </w:pPr>
          </w:p>
        </w:tc>
        <w:tc>
          <w:tcPr>
            <w:tcW w:w="720" w:type="dxa"/>
            <w:vAlign w:val="bottom"/>
          </w:tcPr>
          <w:p>
            <w:pPr>
              <w:spacing w:after="0"/>
              <w:rPr>
                <w:sz w:val="6"/>
                <w:szCs w:val="6"/>
                <w:color w:val="auto"/>
              </w:rPr>
            </w:pPr>
          </w:p>
        </w:tc>
      </w:tr>
      <w:tr>
        <w:trPr>
          <w:trHeight w:val="451"/>
        </w:trPr>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80" w:type="dxa"/>
            <w:vAlign w:val="bottom"/>
          </w:tcPr>
          <w:p>
            <w:pPr>
              <w:ind w:left="4280"/>
              <w:spacing w:after="0"/>
              <w:rPr>
                <w:sz w:val="20"/>
                <w:szCs w:val="20"/>
                <w:color w:val="auto"/>
              </w:rPr>
            </w:pPr>
            <w:r>
              <w:rPr>
                <w:rFonts w:ascii="Times New Roman" w:cs="Times New Roman" w:eastAsia="Times New Roman" w:hAnsi="Times New Roman"/>
                <w:sz w:val="22"/>
                <w:szCs w:val="22"/>
                <w:color w:val="auto"/>
              </w:rPr>
              <w:t>6</w:t>
            </w:r>
          </w:p>
        </w:tc>
        <w:tc>
          <w:tcPr>
            <w:tcW w:w="4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954"/>
        </w:trPr>
        <w:tc>
          <w:tcPr>
            <w:tcW w:w="7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3" w:name="page154"/>
    <w:bookmarkEnd w:id="153"/>
    <w:tbl>
      <w:tblPr>
        <w:tblLayout w:type="fixed"/>
        <w:tblInd w:w="10" w:type="dxa"/>
        <w:tblCellMar>
          <w:top w:w="0" w:type="dxa"/>
          <w:left w:w="0" w:type="dxa"/>
          <w:bottom w:w="0" w:type="dxa"/>
          <w:right w:w="0" w:type="dxa"/>
        </w:tblCellMar>
      </w:tblPr>
      <w:tr>
        <w:trPr>
          <w:trHeight w:val="312"/>
        </w:trPr>
        <w:tc>
          <w:tcPr>
            <w:tcW w:w="740" w:type="dxa"/>
            <w:vAlign w:val="bottom"/>
            <w:tcBorders>
              <w:top w:val="single" w:sz="8" w:color="auto"/>
              <w:left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6)</w:t>
            </w:r>
          </w:p>
        </w:tc>
        <w:tc>
          <w:tcPr>
            <w:tcW w:w="4760" w:type="dxa"/>
            <w:vAlign w:val="bottom"/>
            <w:tcBorders>
              <w:top w:val="single" w:sz="8" w:color="auto"/>
              <w:right w:val="single" w:sz="8" w:color="auto"/>
            </w:tcBorders>
          </w:tcPr>
          <w:p>
            <w:pPr>
              <w:jc w:val="right"/>
              <w:ind w:right="4212"/>
              <w:spacing w:after="0"/>
              <w:rPr>
                <w:sz w:val="20"/>
                <w:szCs w:val="20"/>
                <w:color w:val="auto"/>
              </w:rPr>
            </w:pPr>
            <w:r>
              <w:rPr>
                <w:rFonts w:ascii="Times New Roman" w:cs="Times New Roman" w:eastAsia="Times New Roman" w:hAnsi="Times New Roman"/>
                <w:sz w:val="22"/>
                <w:szCs w:val="22"/>
                <w:color w:val="auto"/>
              </w:rPr>
              <w:t>[**]</w:t>
            </w:r>
          </w:p>
        </w:tc>
        <w:tc>
          <w:tcPr>
            <w:tcW w:w="4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52"/>
        </w:trPr>
        <w:tc>
          <w:tcPr>
            <w:tcW w:w="740" w:type="dxa"/>
            <w:vAlign w:val="bottom"/>
            <w:tcBorders>
              <w:left w:val="single" w:sz="8" w:color="auto"/>
              <w:bottom w:val="single" w:sz="8" w:color="auto"/>
            </w:tcBorders>
          </w:tcPr>
          <w:p>
            <w:pPr>
              <w:spacing w:after="0"/>
              <w:rPr>
                <w:sz w:val="4"/>
                <w:szCs w:val="4"/>
                <w:color w:val="auto"/>
              </w:rPr>
            </w:pPr>
          </w:p>
        </w:tc>
        <w:tc>
          <w:tcPr>
            <w:tcW w:w="4760" w:type="dxa"/>
            <w:vAlign w:val="bottom"/>
            <w:tcBorders>
              <w:bottom w:val="single" w:sz="8" w:color="auto"/>
              <w:right w:val="single" w:sz="8" w:color="auto"/>
            </w:tcBorders>
          </w:tcPr>
          <w:p>
            <w:pPr>
              <w:spacing w:after="0"/>
              <w:rPr>
                <w:sz w:val="4"/>
                <w:szCs w:val="4"/>
                <w:color w:val="auto"/>
              </w:rPr>
            </w:pPr>
          </w:p>
        </w:tc>
        <w:tc>
          <w:tcPr>
            <w:tcW w:w="4260" w:type="dxa"/>
            <w:vAlign w:val="bottom"/>
            <w:tcBorders>
              <w:bottom w:val="single" w:sz="8" w:color="auto"/>
              <w:right w:val="single" w:sz="8" w:color="auto"/>
            </w:tcBorders>
          </w:tcPr>
          <w:p>
            <w:pPr>
              <w:spacing w:after="0"/>
              <w:rPr>
                <w:sz w:val="4"/>
                <w:szCs w:val="4"/>
                <w:color w:val="auto"/>
              </w:rPr>
            </w:pPr>
          </w:p>
        </w:tc>
      </w:tr>
      <w:tr>
        <w:trPr>
          <w:trHeight w:val="292"/>
        </w:trPr>
        <w:tc>
          <w:tcPr>
            <w:tcW w:w="740" w:type="dxa"/>
            <w:vAlign w:val="bottom"/>
            <w:tcBorders>
              <w:left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7)</w:t>
            </w:r>
          </w:p>
        </w:tc>
        <w:tc>
          <w:tcPr>
            <w:tcW w:w="4760" w:type="dxa"/>
            <w:vAlign w:val="bottom"/>
            <w:tcBorders>
              <w:right w:val="single" w:sz="8" w:color="auto"/>
            </w:tcBorders>
          </w:tcPr>
          <w:p>
            <w:pPr>
              <w:jc w:val="right"/>
              <w:ind w:right="4212"/>
              <w:spacing w:after="0"/>
              <w:rPr>
                <w:sz w:val="20"/>
                <w:szCs w:val="20"/>
                <w:color w:val="auto"/>
              </w:rPr>
            </w:pPr>
            <w:r>
              <w:rPr>
                <w:rFonts w:ascii="Times New Roman" w:cs="Times New Roman" w:eastAsia="Times New Roman" w:hAnsi="Times New Roman"/>
                <w:sz w:val="22"/>
                <w:szCs w:val="22"/>
                <w:color w:val="auto"/>
              </w:rPr>
              <w:t>[**]</w:t>
            </w:r>
          </w:p>
        </w:tc>
        <w:tc>
          <w:tcPr>
            <w:tcW w:w="4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69"/>
        </w:trPr>
        <w:tc>
          <w:tcPr>
            <w:tcW w:w="740" w:type="dxa"/>
            <w:vAlign w:val="bottom"/>
            <w:tcBorders>
              <w:left w:val="single" w:sz="8" w:color="auto"/>
              <w:bottom w:val="single" w:sz="8" w:color="auto"/>
            </w:tcBorders>
          </w:tcPr>
          <w:p>
            <w:pPr>
              <w:spacing w:after="0"/>
              <w:rPr>
                <w:sz w:val="6"/>
                <w:szCs w:val="6"/>
                <w:color w:val="auto"/>
              </w:rPr>
            </w:pPr>
          </w:p>
        </w:tc>
        <w:tc>
          <w:tcPr>
            <w:tcW w:w="4760" w:type="dxa"/>
            <w:vAlign w:val="bottom"/>
            <w:tcBorders>
              <w:bottom w:val="single" w:sz="8" w:color="auto"/>
              <w:right w:val="single" w:sz="8" w:color="auto"/>
            </w:tcBorders>
          </w:tcPr>
          <w:p>
            <w:pPr>
              <w:spacing w:after="0"/>
              <w:rPr>
                <w:sz w:val="6"/>
                <w:szCs w:val="6"/>
                <w:color w:val="auto"/>
              </w:rPr>
            </w:pPr>
          </w:p>
        </w:tc>
        <w:tc>
          <w:tcPr>
            <w:tcW w:w="4260" w:type="dxa"/>
            <w:vAlign w:val="bottom"/>
            <w:tcBorders>
              <w:bottom w:val="single" w:sz="8" w:color="auto"/>
              <w:right w:val="single" w:sz="8" w:color="auto"/>
            </w:tcBorders>
          </w:tcPr>
          <w:p>
            <w:pPr>
              <w:spacing w:after="0"/>
              <w:rPr>
                <w:sz w:val="6"/>
                <w:szCs w:val="6"/>
                <w:color w:val="auto"/>
              </w:rPr>
            </w:pPr>
          </w:p>
        </w:tc>
      </w:tr>
      <w:tr>
        <w:trPr>
          <w:trHeight w:val="289"/>
        </w:trPr>
        <w:tc>
          <w:tcPr>
            <w:tcW w:w="740" w:type="dxa"/>
            <w:vAlign w:val="bottom"/>
            <w:tcBorders>
              <w:left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8)</w:t>
            </w:r>
          </w:p>
        </w:tc>
        <w:tc>
          <w:tcPr>
            <w:tcW w:w="4760" w:type="dxa"/>
            <w:vAlign w:val="bottom"/>
            <w:tcBorders>
              <w:right w:val="single" w:sz="8" w:color="auto"/>
            </w:tcBorders>
          </w:tcPr>
          <w:p>
            <w:pPr>
              <w:jc w:val="right"/>
              <w:ind w:right="4212"/>
              <w:spacing w:after="0"/>
              <w:rPr>
                <w:sz w:val="20"/>
                <w:szCs w:val="20"/>
                <w:color w:val="auto"/>
              </w:rPr>
            </w:pPr>
            <w:r>
              <w:rPr>
                <w:rFonts w:ascii="Times New Roman" w:cs="Times New Roman" w:eastAsia="Times New Roman" w:hAnsi="Times New Roman"/>
                <w:sz w:val="22"/>
                <w:szCs w:val="22"/>
                <w:color w:val="auto"/>
              </w:rPr>
              <w:t>[**]</w:t>
            </w:r>
          </w:p>
        </w:tc>
        <w:tc>
          <w:tcPr>
            <w:tcW w:w="4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69"/>
        </w:trPr>
        <w:tc>
          <w:tcPr>
            <w:tcW w:w="740" w:type="dxa"/>
            <w:vAlign w:val="bottom"/>
            <w:tcBorders>
              <w:left w:val="single" w:sz="8" w:color="auto"/>
              <w:bottom w:val="single" w:sz="8" w:color="auto"/>
            </w:tcBorders>
          </w:tcPr>
          <w:p>
            <w:pPr>
              <w:spacing w:after="0"/>
              <w:rPr>
                <w:sz w:val="6"/>
                <w:szCs w:val="6"/>
                <w:color w:val="auto"/>
              </w:rPr>
            </w:pPr>
          </w:p>
        </w:tc>
        <w:tc>
          <w:tcPr>
            <w:tcW w:w="4760" w:type="dxa"/>
            <w:vAlign w:val="bottom"/>
            <w:tcBorders>
              <w:bottom w:val="single" w:sz="8" w:color="auto"/>
              <w:right w:val="single" w:sz="8" w:color="auto"/>
            </w:tcBorders>
          </w:tcPr>
          <w:p>
            <w:pPr>
              <w:spacing w:after="0"/>
              <w:rPr>
                <w:sz w:val="6"/>
                <w:szCs w:val="6"/>
                <w:color w:val="auto"/>
              </w:rPr>
            </w:pPr>
          </w:p>
        </w:tc>
        <w:tc>
          <w:tcPr>
            <w:tcW w:w="4260" w:type="dxa"/>
            <w:vAlign w:val="bottom"/>
            <w:tcBorders>
              <w:bottom w:val="single" w:sz="8" w:color="auto"/>
              <w:right w:val="single" w:sz="8" w:color="auto"/>
            </w:tcBorders>
          </w:tcPr>
          <w:p>
            <w:pPr>
              <w:spacing w:after="0"/>
              <w:rPr>
                <w:sz w:val="6"/>
                <w:szCs w:val="6"/>
                <w:color w:val="auto"/>
              </w:rPr>
            </w:pPr>
          </w:p>
        </w:tc>
      </w:tr>
      <w:tr>
        <w:trPr>
          <w:trHeight w:val="289"/>
        </w:trPr>
        <w:tc>
          <w:tcPr>
            <w:tcW w:w="740" w:type="dxa"/>
            <w:vAlign w:val="bottom"/>
            <w:tcBorders>
              <w:left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9)</w:t>
            </w:r>
          </w:p>
        </w:tc>
        <w:tc>
          <w:tcPr>
            <w:tcW w:w="4760" w:type="dxa"/>
            <w:vAlign w:val="bottom"/>
            <w:tcBorders>
              <w:right w:val="single" w:sz="8" w:color="auto"/>
            </w:tcBorders>
          </w:tcPr>
          <w:p>
            <w:pPr>
              <w:jc w:val="right"/>
              <w:ind w:right="4212"/>
              <w:spacing w:after="0"/>
              <w:rPr>
                <w:sz w:val="20"/>
                <w:szCs w:val="20"/>
                <w:color w:val="auto"/>
              </w:rPr>
            </w:pPr>
            <w:r>
              <w:rPr>
                <w:rFonts w:ascii="Times New Roman" w:cs="Times New Roman" w:eastAsia="Times New Roman" w:hAnsi="Times New Roman"/>
                <w:sz w:val="22"/>
                <w:szCs w:val="22"/>
                <w:color w:val="auto"/>
              </w:rPr>
              <w:t>[**]</w:t>
            </w:r>
          </w:p>
        </w:tc>
        <w:tc>
          <w:tcPr>
            <w:tcW w:w="4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69"/>
        </w:trPr>
        <w:tc>
          <w:tcPr>
            <w:tcW w:w="740" w:type="dxa"/>
            <w:vAlign w:val="bottom"/>
            <w:tcBorders>
              <w:left w:val="single" w:sz="8" w:color="auto"/>
              <w:bottom w:val="single" w:sz="8" w:color="auto"/>
            </w:tcBorders>
          </w:tcPr>
          <w:p>
            <w:pPr>
              <w:spacing w:after="0"/>
              <w:rPr>
                <w:sz w:val="6"/>
                <w:szCs w:val="6"/>
                <w:color w:val="auto"/>
              </w:rPr>
            </w:pPr>
          </w:p>
        </w:tc>
        <w:tc>
          <w:tcPr>
            <w:tcW w:w="4760" w:type="dxa"/>
            <w:vAlign w:val="bottom"/>
            <w:tcBorders>
              <w:bottom w:val="single" w:sz="8" w:color="auto"/>
              <w:right w:val="single" w:sz="8" w:color="auto"/>
            </w:tcBorders>
          </w:tcPr>
          <w:p>
            <w:pPr>
              <w:spacing w:after="0"/>
              <w:rPr>
                <w:sz w:val="6"/>
                <w:szCs w:val="6"/>
                <w:color w:val="auto"/>
              </w:rPr>
            </w:pPr>
          </w:p>
        </w:tc>
        <w:tc>
          <w:tcPr>
            <w:tcW w:w="4260" w:type="dxa"/>
            <w:vAlign w:val="bottom"/>
            <w:tcBorders>
              <w:bottom w:val="single" w:sz="8" w:color="auto"/>
              <w:right w:val="single" w:sz="8" w:color="auto"/>
            </w:tcBorders>
          </w:tcPr>
          <w:p>
            <w:pPr>
              <w:spacing w:after="0"/>
              <w:rPr>
                <w:sz w:val="6"/>
                <w:szCs w:val="6"/>
                <w:color w:val="auto"/>
              </w:rPr>
            </w:pPr>
          </w:p>
        </w:tc>
      </w:tr>
      <w:tr>
        <w:trPr>
          <w:trHeight w:val="289"/>
        </w:trPr>
        <w:tc>
          <w:tcPr>
            <w:tcW w:w="7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Total</w:t>
            </w:r>
          </w:p>
        </w:tc>
        <w:tc>
          <w:tcPr>
            <w:tcW w:w="4760" w:type="dxa"/>
            <w:vAlign w:val="bottom"/>
            <w:tcBorders>
              <w:right w:val="single" w:sz="8" w:color="auto"/>
            </w:tcBorders>
          </w:tcPr>
          <w:p>
            <w:pPr>
              <w:spacing w:after="0"/>
              <w:rPr>
                <w:sz w:val="24"/>
                <w:szCs w:val="24"/>
                <w:color w:val="auto"/>
              </w:rPr>
            </w:pPr>
          </w:p>
        </w:tc>
        <w:tc>
          <w:tcPr>
            <w:tcW w:w="4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$94,500,000</w:t>
            </w:r>
          </w:p>
        </w:tc>
      </w:tr>
      <w:tr>
        <w:trPr>
          <w:trHeight w:val="69"/>
        </w:trPr>
        <w:tc>
          <w:tcPr>
            <w:tcW w:w="740" w:type="dxa"/>
            <w:vAlign w:val="bottom"/>
            <w:tcBorders>
              <w:left w:val="single" w:sz="8" w:color="auto"/>
              <w:bottom w:val="single" w:sz="8" w:color="auto"/>
            </w:tcBorders>
          </w:tcPr>
          <w:p>
            <w:pPr>
              <w:spacing w:after="0"/>
              <w:rPr>
                <w:sz w:val="6"/>
                <w:szCs w:val="6"/>
                <w:color w:val="auto"/>
              </w:rPr>
            </w:pPr>
          </w:p>
        </w:tc>
        <w:tc>
          <w:tcPr>
            <w:tcW w:w="4760" w:type="dxa"/>
            <w:vAlign w:val="bottom"/>
            <w:tcBorders>
              <w:bottom w:val="single" w:sz="8" w:color="auto"/>
              <w:right w:val="single" w:sz="8" w:color="auto"/>
            </w:tcBorders>
          </w:tcPr>
          <w:p>
            <w:pPr>
              <w:spacing w:after="0"/>
              <w:rPr>
                <w:sz w:val="6"/>
                <w:szCs w:val="6"/>
                <w:color w:val="auto"/>
              </w:rPr>
            </w:pPr>
          </w:p>
        </w:tc>
        <w:tc>
          <w:tcPr>
            <w:tcW w:w="426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1494"/>
        <w:spacing w:after="0" w:line="235" w:lineRule="auto"/>
        <w:tabs>
          <w:tab w:leader="none" w:pos="179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definition of Phase 2 Clinical Trial, the Development and Regulatory Milestone Payment for the Development and Regulatory Milestone Event 1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“Initiation of a Phase 2 Clinical Trial”) is payable upon Initiation of the first Clinical Trial (or portion thereof) by a Buyer Party following the Closing where a Product is administered to patients. To the extent Development and Regulatory Milestone Event 1 has not been achieved by a Buyer Party by December 31, 2026, the associated Development and Regulatory Milestone Payment shall become due and payable as of such date. In such case, Seller will issue an invoice equal to the associated Development and Regulatory Milestone Payment and Buyer will, within [**] following receipt thereof, pay the amount set forth in such invoice by wire transfer of immediately available funds.</w:t>
      </w:r>
    </w:p>
    <w:p>
      <w:pPr>
        <w:spacing w:after="0" w:line="17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(iii)For clarity, each Development and Regulatory Milestone Payment shall become due and payable only once upon the first achievement of the corresponding Development and Regulatory Milestone Event by a Buyer Party regardless of the number of times it is achieved by the same or different Products. Each Development and Regulatory Milestone Payment shall be noncreditable, nonrefundable, and not subject to set-off, other than as set forth in [**].</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(iv)Solely with respect to each of Development and Regulatory Milestone Events [**], the corresponding Development and Regulatory Milestone Payment shall only be payable upon the achievement of the applicable Development and Regulatory Milestone Event if such Development and Regulatory Milestone Event is achieved by Buyer or its Affiliates and </w:t>
      </w:r>
      <w:r>
        <w:rPr>
          <w:rFonts w:ascii="Times New Roman" w:cs="Times New Roman" w:eastAsia="Times New Roman" w:hAnsi="Times New Roman"/>
          <w:sz w:val="22"/>
          <w:szCs w:val="22"/>
          <w:i w:val="1"/>
          <w:iCs w:val="1"/>
          <w:color w:val="auto"/>
        </w:rPr>
        <w:t>not</w:t>
      </w:r>
      <w:r>
        <w:rPr>
          <w:rFonts w:ascii="Times New Roman" w:cs="Times New Roman" w:eastAsia="Times New Roman" w:hAnsi="Times New Roman"/>
          <w:sz w:val="22"/>
          <w:szCs w:val="22"/>
          <w:color w:val="auto"/>
        </w:rPr>
        <w:t xml:space="preserve"> upon achievement of such Development and Regulatory Milestone Event by any other Buyer Party.</w:t>
      </w:r>
    </w:p>
    <w:p>
      <w:pPr>
        <w:spacing w:after="0" w:line="177" w:lineRule="exact"/>
        <w:rPr>
          <w:sz w:val="20"/>
          <w:szCs w:val="20"/>
          <w:color w:val="auto"/>
        </w:rPr>
      </w:pPr>
    </w:p>
    <w:p>
      <w:pPr>
        <w:jc w:val="both"/>
        <w:ind w:firstLine="1494"/>
        <w:spacing w:after="0" w:line="235" w:lineRule="auto"/>
        <w:tabs>
          <w:tab w:leader="none" w:pos="179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given Product, if Development and Regulatory Milestone Event 2 becomes due and Development and Regulatory Milestone Event [**] has not been paid, then both Development and Regulatory Milestone Events [**] would be payable upon achievement of Development and Regulatory Milestone Event [**] by such Product. For a given Product, if the first of Development and Regulatory Milestone Event [**] becomes due and one of Development and Regulatory Milestone Event [**] have not been paid, then each unpaid Development and Regulatory Milestone Event [**], as applicable, would be payable upon the first achievement of Development and Regulatory Milestone Event [**]. For a given Product, if the first of Development and Regulatory Milestone Event [**] becomes due and Development and Regulatory Milestone Event [**] has not been paid,</w:t>
      </w:r>
    </w:p>
    <w:p>
      <w:pPr>
        <w:spacing w:after="0" w:line="3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607060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2" w:right="339" w:bottom="1440" w:gutter="0" w:footer="0" w:header="0"/>
        </w:sectPr>
      </w:pPr>
    </w:p>
    <w:bookmarkStart w:id="154" w:name="page155"/>
    <w:bookmarkEnd w:id="154"/>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then Development and Regulatory Milestone Event [**] would be payable upon the first achievement of Development and Regulatory Milestone Event [**].</w:t>
      </w:r>
    </w:p>
    <w:p>
      <w:pPr>
        <w:spacing w:after="0" w:line="158" w:lineRule="exact"/>
        <w:rPr>
          <w:sz w:val="20"/>
          <w:szCs w:val="20"/>
          <w:color w:val="auto"/>
        </w:rPr>
      </w:pPr>
    </w:p>
    <w:p>
      <w:pPr>
        <w:jc w:val="both"/>
        <w:ind w:left="760" w:firstLine="1497"/>
        <w:spacing w:after="0" w:line="236" w:lineRule="auto"/>
        <w:rPr>
          <w:sz w:val="20"/>
          <w:szCs w:val="20"/>
          <w:color w:val="auto"/>
        </w:rPr>
      </w:pPr>
      <w:r>
        <w:rPr>
          <w:rFonts w:ascii="Times New Roman" w:cs="Times New Roman" w:eastAsia="Times New Roman" w:hAnsi="Times New Roman"/>
          <w:sz w:val="22"/>
          <w:szCs w:val="22"/>
          <w:color w:val="auto"/>
        </w:rPr>
        <w:t>(vi)Buyer shall notify Seller in writing of the achievement of a Development and Regulatory Milestone Event by a Buyer Party as promptly as practicable, but no later than within [**] following the date of the achievement thereof (or following Buyer becoming aware of achievement thereof by a Buyer Party that is not Buyer or its Affiliates). Following receipt of such notice, Seller will issue an invoice equal to the applicable Development and Regulatory Milestone Payment, and, subject to [**], Buyer will, within [**] following receipt thereof, pay the amount set forth in such invoice by wire transfer of immediately available funds.</w:t>
      </w:r>
    </w:p>
    <w:p>
      <w:pPr>
        <w:spacing w:after="0" w:line="181" w:lineRule="exact"/>
        <w:rPr>
          <w:sz w:val="20"/>
          <w:szCs w:val="20"/>
          <w:color w:val="auto"/>
        </w:rPr>
      </w:pPr>
    </w:p>
    <w:p>
      <w:pPr>
        <w:ind w:left="2040" w:hanging="535"/>
        <w:spacing w:after="0"/>
        <w:tabs>
          <w:tab w:leader="none" w:pos="20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Commercial Milestone Payments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left="760" w:firstLine="1494"/>
        <w:spacing w:after="0" w:line="238" w:lineRule="auto"/>
        <w:tabs>
          <w:tab w:leader="none" w:pos="2557"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the Closing, subject to the remainder of this </w:t>
      </w:r>
      <w:r>
        <w:rPr>
          <w:rFonts w:ascii="Times New Roman" w:cs="Times New Roman" w:eastAsia="Times New Roman" w:hAnsi="Times New Roman"/>
          <w:sz w:val="22"/>
          <w:szCs w:val="22"/>
          <w:u w:val="single" w:color="auto"/>
          <w:color w:val="auto"/>
        </w:rPr>
        <w:t>Section 1.4(b)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Commercial Milestone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Payments</w:t>
      </w:r>
      <w:r>
        <w:rPr>
          <w:rFonts w:ascii="Times New Roman" w:cs="Times New Roman" w:eastAsia="Times New Roman" w:hAnsi="Times New Roman"/>
          <w:sz w:val="22"/>
          <w:szCs w:val="22"/>
          <w:color w:val="auto"/>
        </w:rPr>
        <w:t>), upon the first achievement by a Buyer Party of each milestone event set forth in the table below (each,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 Milestone Event</w:t>
      </w:r>
      <w:r>
        <w:rPr>
          <w:rFonts w:ascii="Times New Roman" w:cs="Times New Roman" w:eastAsia="Times New Roman" w:hAnsi="Times New Roman"/>
          <w:sz w:val="22"/>
          <w:szCs w:val="22"/>
          <w:color w:val="auto"/>
        </w:rPr>
        <w:t>”), Buyer shall pay, or cause to be paid, by wire transfer of immediately available funds to Seller an amount equal to the corresponding one-time payment set forth in the table below (each, a “</w:t>
      </w:r>
      <w:r>
        <w:rPr>
          <w:rFonts w:ascii="Times New Roman" w:cs="Times New Roman" w:eastAsia="Times New Roman" w:hAnsi="Times New Roman"/>
          <w:sz w:val="22"/>
          <w:szCs w:val="22"/>
          <w:b w:val="1"/>
          <w:bCs w:val="1"/>
          <w:color w:val="auto"/>
        </w:rPr>
        <w:t>Commercial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Milestone Payment</w:t>
      </w:r>
      <w:r>
        <w:rPr>
          <w:rFonts w:ascii="Times New Roman" w:cs="Times New Roman" w:eastAsia="Times New Roman" w:hAnsi="Times New Roman"/>
          <w:sz w:val="22"/>
          <w:szCs w:val="22"/>
          <w:color w:val="auto"/>
        </w:rPr>
        <w:t>”)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1.4(b)(iv)</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1.4(b)(v)</w:t>
      </w:r>
      <w:r>
        <w:rPr>
          <w:rFonts w:ascii="Times New Roman" w:cs="Times New Roman" w:eastAsia="Times New Roman" w:hAnsi="Times New Roman"/>
          <w:sz w:val="22"/>
          <w:szCs w:val="22"/>
          <w:color w:val="auto"/>
        </w:rPr>
        <w:t>.</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312"/>
        </w:trPr>
        <w:tc>
          <w:tcPr>
            <w:tcW w:w="600" w:type="dxa"/>
            <w:vAlign w:val="bottom"/>
            <w:tcBorders>
              <w:top w:val="single" w:sz="8" w:color="auto"/>
              <w:left w:val="single" w:sz="8" w:color="auto"/>
            </w:tcBorders>
          </w:tcPr>
          <w:p>
            <w:pPr>
              <w:spacing w:after="0"/>
              <w:rPr>
                <w:sz w:val="24"/>
                <w:szCs w:val="24"/>
                <w:color w:val="auto"/>
              </w:rPr>
            </w:pPr>
          </w:p>
        </w:tc>
        <w:tc>
          <w:tcPr>
            <w:tcW w:w="5540" w:type="dxa"/>
            <w:vAlign w:val="bottom"/>
            <w:tcBorders>
              <w:top w:val="single" w:sz="8" w:color="auto"/>
              <w:right w:val="single" w:sz="8" w:color="auto"/>
            </w:tcBorders>
          </w:tcPr>
          <w:p>
            <w:pPr>
              <w:jc w:val="right"/>
              <w:ind w:right="2732"/>
              <w:spacing w:after="0"/>
              <w:rPr>
                <w:sz w:val="20"/>
                <w:szCs w:val="20"/>
                <w:color w:val="auto"/>
              </w:rPr>
            </w:pPr>
            <w:r>
              <w:rPr>
                <w:rFonts w:ascii="Times New Roman" w:cs="Times New Roman" w:eastAsia="Times New Roman" w:hAnsi="Times New Roman"/>
                <w:sz w:val="22"/>
                <w:szCs w:val="22"/>
                <w:b w:val="1"/>
                <w:bCs w:val="1"/>
                <w:color w:val="auto"/>
                <w:w w:val="97"/>
              </w:rPr>
              <w:t>Commercial Milestone Event</w:t>
            </w:r>
          </w:p>
        </w:tc>
        <w:tc>
          <w:tcPr>
            <w:tcW w:w="5100" w:type="dxa"/>
            <w:vAlign w:val="bottom"/>
            <w:tcBorders>
              <w:top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22"/>
                <w:szCs w:val="22"/>
                <w:b w:val="1"/>
                <w:bCs w:val="1"/>
                <w:color w:val="auto"/>
              </w:rPr>
              <w:t>Sales Milestone Payment</w:t>
            </w:r>
          </w:p>
        </w:tc>
      </w:tr>
      <w:tr>
        <w:trPr>
          <w:trHeight w:val="72"/>
        </w:trPr>
        <w:tc>
          <w:tcPr>
            <w:tcW w:w="600" w:type="dxa"/>
            <w:vAlign w:val="bottom"/>
            <w:tcBorders>
              <w:left w:val="single" w:sz="8" w:color="auto"/>
              <w:bottom w:val="single" w:sz="8" w:color="auto"/>
            </w:tcBorders>
          </w:tcPr>
          <w:p>
            <w:pPr>
              <w:spacing w:after="0"/>
              <w:rPr>
                <w:sz w:val="6"/>
                <w:szCs w:val="6"/>
                <w:color w:val="auto"/>
              </w:rPr>
            </w:pPr>
          </w:p>
        </w:tc>
        <w:tc>
          <w:tcPr>
            <w:tcW w:w="5540" w:type="dxa"/>
            <w:vAlign w:val="bottom"/>
            <w:tcBorders>
              <w:bottom w:val="single" w:sz="8" w:color="auto"/>
              <w:right w:val="single" w:sz="8" w:color="auto"/>
            </w:tcBorders>
          </w:tcPr>
          <w:p>
            <w:pPr>
              <w:spacing w:after="0"/>
              <w:rPr>
                <w:sz w:val="6"/>
                <w:szCs w:val="6"/>
                <w:color w:val="auto"/>
              </w:rPr>
            </w:pPr>
          </w:p>
        </w:tc>
        <w:tc>
          <w:tcPr>
            <w:tcW w:w="5100" w:type="dxa"/>
            <w:vAlign w:val="bottom"/>
            <w:tcBorders>
              <w:bottom w:val="single" w:sz="8" w:color="auto"/>
              <w:right w:val="single" w:sz="8" w:color="auto"/>
            </w:tcBorders>
          </w:tcPr>
          <w:p>
            <w:pPr>
              <w:spacing w:after="0"/>
              <w:rPr>
                <w:sz w:val="6"/>
                <w:szCs w:val="6"/>
                <w:color w:val="auto"/>
              </w:rPr>
            </w:pPr>
          </w:p>
        </w:tc>
      </w:tr>
      <w:tr>
        <w:trPr>
          <w:trHeight w:val="286"/>
        </w:trPr>
        <w:tc>
          <w:tcPr>
            <w:tcW w:w="6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w:t>
            </w:r>
          </w:p>
        </w:tc>
        <w:tc>
          <w:tcPr>
            <w:tcW w:w="5540" w:type="dxa"/>
            <w:vAlign w:val="bottom"/>
            <w:tcBorders>
              <w:right w:val="single" w:sz="8" w:color="auto"/>
            </w:tcBorders>
          </w:tcPr>
          <w:p>
            <w:pPr>
              <w:jc w:val="right"/>
              <w:ind w:right="4832"/>
              <w:spacing w:after="0"/>
              <w:rPr>
                <w:sz w:val="20"/>
                <w:szCs w:val="20"/>
                <w:color w:val="auto"/>
              </w:rPr>
            </w:pPr>
            <w:r>
              <w:rPr>
                <w:rFonts w:ascii="Times New Roman" w:cs="Times New Roman" w:eastAsia="Times New Roman" w:hAnsi="Times New Roman"/>
                <w:sz w:val="22"/>
                <w:szCs w:val="22"/>
                <w:color w:val="auto"/>
              </w:rPr>
              <w:t>[**]</w:t>
            </w:r>
          </w:p>
        </w:tc>
        <w:tc>
          <w:tcPr>
            <w:tcW w:w="5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56"/>
        </w:trPr>
        <w:tc>
          <w:tcPr>
            <w:tcW w:w="600" w:type="dxa"/>
            <w:vAlign w:val="bottom"/>
            <w:tcBorders>
              <w:left w:val="single" w:sz="8" w:color="auto"/>
              <w:bottom w:val="single" w:sz="8" w:color="auto"/>
            </w:tcBorders>
          </w:tcPr>
          <w:p>
            <w:pPr>
              <w:spacing w:after="0"/>
              <w:rPr>
                <w:sz w:val="4"/>
                <w:szCs w:val="4"/>
                <w:color w:val="auto"/>
              </w:rPr>
            </w:pPr>
          </w:p>
        </w:tc>
        <w:tc>
          <w:tcPr>
            <w:tcW w:w="5540" w:type="dxa"/>
            <w:vAlign w:val="bottom"/>
            <w:tcBorders>
              <w:bottom w:val="single" w:sz="8" w:color="auto"/>
              <w:right w:val="single" w:sz="8" w:color="auto"/>
            </w:tcBorders>
          </w:tcPr>
          <w:p>
            <w:pPr>
              <w:spacing w:after="0"/>
              <w:rPr>
                <w:sz w:val="4"/>
                <w:szCs w:val="4"/>
                <w:color w:val="auto"/>
              </w:rPr>
            </w:pPr>
          </w:p>
        </w:tc>
        <w:tc>
          <w:tcPr>
            <w:tcW w:w="5100" w:type="dxa"/>
            <w:vAlign w:val="bottom"/>
            <w:tcBorders>
              <w:bottom w:val="single" w:sz="8" w:color="auto"/>
              <w:right w:val="single" w:sz="8" w:color="auto"/>
            </w:tcBorders>
          </w:tcPr>
          <w:p>
            <w:pPr>
              <w:spacing w:after="0"/>
              <w:rPr>
                <w:sz w:val="4"/>
                <w:szCs w:val="4"/>
                <w:color w:val="auto"/>
              </w:rPr>
            </w:pPr>
          </w:p>
        </w:tc>
      </w:tr>
      <w:tr>
        <w:trPr>
          <w:trHeight w:val="289"/>
        </w:trPr>
        <w:tc>
          <w:tcPr>
            <w:tcW w:w="6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w:t>
            </w:r>
          </w:p>
        </w:tc>
        <w:tc>
          <w:tcPr>
            <w:tcW w:w="5540" w:type="dxa"/>
            <w:vAlign w:val="bottom"/>
            <w:tcBorders>
              <w:right w:val="single" w:sz="8" w:color="auto"/>
            </w:tcBorders>
          </w:tcPr>
          <w:p>
            <w:pPr>
              <w:jc w:val="right"/>
              <w:ind w:right="4832"/>
              <w:spacing w:after="0"/>
              <w:rPr>
                <w:sz w:val="20"/>
                <w:szCs w:val="20"/>
                <w:color w:val="auto"/>
              </w:rPr>
            </w:pPr>
            <w:r>
              <w:rPr>
                <w:rFonts w:ascii="Times New Roman" w:cs="Times New Roman" w:eastAsia="Times New Roman" w:hAnsi="Times New Roman"/>
                <w:sz w:val="22"/>
                <w:szCs w:val="22"/>
                <w:color w:val="auto"/>
              </w:rPr>
              <w:t>[**]</w:t>
            </w:r>
          </w:p>
        </w:tc>
        <w:tc>
          <w:tcPr>
            <w:tcW w:w="5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69"/>
        </w:trPr>
        <w:tc>
          <w:tcPr>
            <w:tcW w:w="600" w:type="dxa"/>
            <w:vAlign w:val="bottom"/>
            <w:tcBorders>
              <w:left w:val="single" w:sz="8" w:color="auto"/>
              <w:bottom w:val="single" w:sz="8" w:color="auto"/>
            </w:tcBorders>
          </w:tcPr>
          <w:p>
            <w:pPr>
              <w:spacing w:after="0"/>
              <w:rPr>
                <w:sz w:val="6"/>
                <w:szCs w:val="6"/>
                <w:color w:val="auto"/>
              </w:rPr>
            </w:pPr>
          </w:p>
        </w:tc>
        <w:tc>
          <w:tcPr>
            <w:tcW w:w="5540" w:type="dxa"/>
            <w:vAlign w:val="bottom"/>
            <w:tcBorders>
              <w:bottom w:val="single" w:sz="8" w:color="auto"/>
              <w:right w:val="single" w:sz="8" w:color="auto"/>
            </w:tcBorders>
          </w:tcPr>
          <w:p>
            <w:pPr>
              <w:spacing w:after="0"/>
              <w:rPr>
                <w:sz w:val="6"/>
                <w:szCs w:val="6"/>
                <w:color w:val="auto"/>
              </w:rPr>
            </w:pPr>
          </w:p>
        </w:tc>
        <w:tc>
          <w:tcPr>
            <w:tcW w:w="5100" w:type="dxa"/>
            <w:vAlign w:val="bottom"/>
            <w:tcBorders>
              <w:bottom w:val="single" w:sz="8" w:color="auto"/>
              <w:right w:val="single" w:sz="8" w:color="auto"/>
            </w:tcBorders>
          </w:tcPr>
          <w:p>
            <w:pPr>
              <w:spacing w:after="0"/>
              <w:rPr>
                <w:sz w:val="6"/>
                <w:szCs w:val="6"/>
                <w:color w:val="auto"/>
              </w:rPr>
            </w:pPr>
          </w:p>
        </w:tc>
      </w:tr>
      <w:tr>
        <w:trPr>
          <w:trHeight w:val="289"/>
        </w:trPr>
        <w:tc>
          <w:tcPr>
            <w:tcW w:w="6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3)</w:t>
            </w:r>
          </w:p>
        </w:tc>
        <w:tc>
          <w:tcPr>
            <w:tcW w:w="5540" w:type="dxa"/>
            <w:vAlign w:val="bottom"/>
            <w:tcBorders>
              <w:right w:val="single" w:sz="8" w:color="auto"/>
            </w:tcBorders>
          </w:tcPr>
          <w:p>
            <w:pPr>
              <w:jc w:val="right"/>
              <w:ind w:right="4832"/>
              <w:spacing w:after="0"/>
              <w:rPr>
                <w:sz w:val="20"/>
                <w:szCs w:val="20"/>
                <w:color w:val="auto"/>
              </w:rPr>
            </w:pPr>
            <w:r>
              <w:rPr>
                <w:rFonts w:ascii="Times New Roman" w:cs="Times New Roman" w:eastAsia="Times New Roman" w:hAnsi="Times New Roman"/>
                <w:sz w:val="22"/>
                <w:szCs w:val="22"/>
                <w:color w:val="auto"/>
              </w:rPr>
              <w:t>[**]</w:t>
            </w:r>
          </w:p>
        </w:tc>
        <w:tc>
          <w:tcPr>
            <w:tcW w:w="5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69"/>
        </w:trPr>
        <w:tc>
          <w:tcPr>
            <w:tcW w:w="600" w:type="dxa"/>
            <w:vAlign w:val="bottom"/>
            <w:tcBorders>
              <w:left w:val="single" w:sz="8" w:color="auto"/>
              <w:bottom w:val="single" w:sz="8" w:color="auto"/>
            </w:tcBorders>
          </w:tcPr>
          <w:p>
            <w:pPr>
              <w:spacing w:after="0"/>
              <w:rPr>
                <w:sz w:val="6"/>
                <w:szCs w:val="6"/>
                <w:color w:val="auto"/>
              </w:rPr>
            </w:pPr>
          </w:p>
        </w:tc>
        <w:tc>
          <w:tcPr>
            <w:tcW w:w="5540" w:type="dxa"/>
            <w:vAlign w:val="bottom"/>
            <w:tcBorders>
              <w:bottom w:val="single" w:sz="8" w:color="auto"/>
              <w:right w:val="single" w:sz="8" w:color="auto"/>
            </w:tcBorders>
          </w:tcPr>
          <w:p>
            <w:pPr>
              <w:spacing w:after="0"/>
              <w:rPr>
                <w:sz w:val="6"/>
                <w:szCs w:val="6"/>
                <w:color w:val="auto"/>
              </w:rPr>
            </w:pPr>
          </w:p>
        </w:tc>
        <w:tc>
          <w:tcPr>
            <w:tcW w:w="5100" w:type="dxa"/>
            <w:vAlign w:val="bottom"/>
            <w:tcBorders>
              <w:bottom w:val="single" w:sz="8" w:color="auto"/>
              <w:right w:val="single" w:sz="8" w:color="auto"/>
            </w:tcBorders>
          </w:tcPr>
          <w:p>
            <w:pPr>
              <w:spacing w:after="0"/>
              <w:rPr>
                <w:sz w:val="6"/>
                <w:szCs w:val="6"/>
                <w:color w:val="auto"/>
              </w:rPr>
            </w:pPr>
          </w:p>
        </w:tc>
      </w:tr>
      <w:tr>
        <w:trPr>
          <w:trHeight w:val="289"/>
        </w:trPr>
        <w:tc>
          <w:tcPr>
            <w:tcW w:w="6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4)</w:t>
            </w:r>
          </w:p>
        </w:tc>
        <w:tc>
          <w:tcPr>
            <w:tcW w:w="5540" w:type="dxa"/>
            <w:vAlign w:val="bottom"/>
            <w:tcBorders>
              <w:right w:val="single" w:sz="8" w:color="auto"/>
            </w:tcBorders>
          </w:tcPr>
          <w:p>
            <w:pPr>
              <w:jc w:val="right"/>
              <w:ind w:right="4832"/>
              <w:spacing w:after="0"/>
              <w:rPr>
                <w:sz w:val="20"/>
                <w:szCs w:val="20"/>
                <w:color w:val="auto"/>
              </w:rPr>
            </w:pPr>
            <w:r>
              <w:rPr>
                <w:rFonts w:ascii="Times New Roman" w:cs="Times New Roman" w:eastAsia="Times New Roman" w:hAnsi="Times New Roman"/>
                <w:sz w:val="22"/>
                <w:szCs w:val="22"/>
                <w:color w:val="auto"/>
              </w:rPr>
              <w:t>[**]</w:t>
            </w:r>
          </w:p>
        </w:tc>
        <w:tc>
          <w:tcPr>
            <w:tcW w:w="5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69"/>
        </w:trPr>
        <w:tc>
          <w:tcPr>
            <w:tcW w:w="600" w:type="dxa"/>
            <w:vAlign w:val="bottom"/>
            <w:tcBorders>
              <w:left w:val="single" w:sz="8" w:color="auto"/>
              <w:bottom w:val="single" w:sz="8" w:color="auto"/>
            </w:tcBorders>
          </w:tcPr>
          <w:p>
            <w:pPr>
              <w:spacing w:after="0"/>
              <w:rPr>
                <w:sz w:val="6"/>
                <w:szCs w:val="6"/>
                <w:color w:val="auto"/>
              </w:rPr>
            </w:pPr>
          </w:p>
        </w:tc>
        <w:tc>
          <w:tcPr>
            <w:tcW w:w="5540" w:type="dxa"/>
            <w:vAlign w:val="bottom"/>
            <w:tcBorders>
              <w:bottom w:val="single" w:sz="8" w:color="auto"/>
              <w:right w:val="single" w:sz="8" w:color="auto"/>
            </w:tcBorders>
          </w:tcPr>
          <w:p>
            <w:pPr>
              <w:spacing w:after="0"/>
              <w:rPr>
                <w:sz w:val="6"/>
                <w:szCs w:val="6"/>
                <w:color w:val="auto"/>
              </w:rPr>
            </w:pPr>
          </w:p>
        </w:tc>
        <w:tc>
          <w:tcPr>
            <w:tcW w:w="5100" w:type="dxa"/>
            <w:vAlign w:val="bottom"/>
            <w:tcBorders>
              <w:bottom w:val="single" w:sz="8" w:color="auto"/>
              <w:right w:val="single" w:sz="8" w:color="auto"/>
            </w:tcBorders>
          </w:tcPr>
          <w:p>
            <w:pPr>
              <w:spacing w:after="0"/>
              <w:rPr>
                <w:sz w:val="6"/>
                <w:szCs w:val="6"/>
                <w:color w:val="auto"/>
              </w:rPr>
            </w:pPr>
          </w:p>
        </w:tc>
      </w:tr>
      <w:tr>
        <w:trPr>
          <w:trHeight w:val="289"/>
        </w:trPr>
        <w:tc>
          <w:tcPr>
            <w:tcW w:w="6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5)</w:t>
            </w:r>
          </w:p>
        </w:tc>
        <w:tc>
          <w:tcPr>
            <w:tcW w:w="5540" w:type="dxa"/>
            <w:vAlign w:val="bottom"/>
            <w:tcBorders>
              <w:right w:val="single" w:sz="8" w:color="auto"/>
            </w:tcBorders>
          </w:tcPr>
          <w:p>
            <w:pPr>
              <w:jc w:val="right"/>
              <w:ind w:right="4832"/>
              <w:spacing w:after="0"/>
              <w:rPr>
                <w:sz w:val="20"/>
                <w:szCs w:val="20"/>
                <w:color w:val="auto"/>
              </w:rPr>
            </w:pPr>
            <w:r>
              <w:rPr>
                <w:rFonts w:ascii="Times New Roman" w:cs="Times New Roman" w:eastAsia="Times New Roman" w:hAnsi="Times New Roman"/>
                <w:sz w:val="22"/>
                <w:szCs w:val="22"/>
                <w:color w:val="auto"/>
              </w:rPr>
              <w:t>[**]</w:t>
            </w:r>
          </w:p>
        </w:tc>
        <w:tc>
          <w:tcPr>
            <w:tcW w:w="5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69"/>
        </w:trPr>
        <w:tc>
          <w:tcPr>
            <w:tcW w:w="600" w:type="dxa"/>
            <w:vAlign w:val="bottom"/>
            <w:tcBorders>
              <w:left w:val="single" w:sz="8" w:color="auto"/>
              <w:bottom w:val="single" w:sz="8" w:color="auto"/>
            </w:tcBorders>
          </w:tcPr>
          <w:p>
            <w:pPr>
              <w:spacing w:after="0"/>
              <w:rPr>
                <w:sz w:val="6"/>
                <w:szCs w:val="6"/>
                <w:color w:val="auto"/>
              </w:rPr>
            </w:pPr>
          </w:p>
        </w:tc>
        <w:tc>
          <w:tcPr>
            <w:tcW w:w="5540" w:type="dxa"/>
            <w:vAlign w:val="bottom"/>
            <w:tcBorders>
              <w:bottom w:val="single" w:sz="8" w:color="auto"/>
              <w:right w:val="single" w:sz="8" w:color="auto"/>
            </w:tcBorders>
          </w:tcPr>
          <w:p>
            <w:pPr>
              <w:spacing w:after="0"/>
              <w:rPr>
                <w:sz w:val="6"/>
                <w:szCs w:val="6"/>
                <w:color w:val="auto"/>
              </w:rPr>
            </w:pPr>
          </w:p>
        </w:tc>
        <w:tc>
          <w:tcPr>
            <w:tcW w:w="5100" w:type="dxa"/>
            <w:vAlign w:val="bottom"/>
            <w:tcBorders>
              <w:bottom w:val="single" w:sz="8" w:color="auto"/>
              <w:right w:val="single" w:sz="8" w:color="auto"/>
            </w:tcBorders>
          </w:tcPr>
          <w:p>
            <w:pPr>
              <w:spacing w:after="0"/>
              <w:rPr>
                <w:sz w:val="6"/>
                <w:szCs w:val="6"/>
                <w:color w:val="auto"/>
              </w:rPr>
            </w:pPr>
          </w:p>
        </w:tc>
      </w:tr>
      <w:tr>
        <w:trPr>
          <w:trHeight w:val="289"/>
        </w:trPr>
        <w:tc>
          <w:tcPr>
            <w:tcW w:w="6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6)</w:t>
            </w:r>
          </w:p>
        </w:tc>
        <w:tc>
          <w:tcPr>
            <w:tcW w:w="5540" w:type="dxa"/>
            <w:vAlign w:val="bottom"/>
            <w:tcBorders>
              <w:right w:val="single" w:sz="8" w:color="auto"/>
            </w:tcBorders>
          </w:tcPr>
          <w:p>
            <w:pPr>
              <w:jc w:val="right"/>
              <w:ind w:right="4832"/>
              <w:spacing w:after="0"/>
              <w:rPr>
                <w:sz w:val="20"/>
                <w:szCs w:val="20"/>
                <w:color w:val="auto"/>
              </w:rPr>
            </w:pPr>
            <w:r>
              <w:rPr>
                <w:rFonts w:ascii="Times New Roman" w:cs="Times New Roman" w:eastAsia="Times New Roman" w:hAnsi="Times New Roman"/>
                <w:sz w:val="22"/>
                <w:szCs w:val="22"/>
                <w:color w:val="auto"/>
              </w:rPr>
              <w:t>[**]</w:t>
            </w:r>
          </w:p>
        </w:tc>
        <w:tc>
          <w:tcPr>
            <w:tcW w:w="5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69"/>
        </w:trPr>
        <w:tc>
          <w:tcPr>
            <w:tcW w:w="600" w:type="dxa"/>
            <w:vAlign w:val="bottom"/>
            <w:tcBorders>
              <w:left w:val="single" w:sz="8" w:color="auto"/>
              <w:bottom w:val="single" w:sz="8" w:color="auto"/>
            </w:tcBorders>
          </w:tcPr>
          <w:p>
            <w:pPr>
              <w:spacing w:after="0"/>
              <w:rPr>
                <w:sz w:val="6"/>
                <w:szCs w:val="6"/>
                <w:color w:val="auto"/>
              </w:rPr>
            </w:pPr>
          </w:p>
        </w:tc>
        <w:tc>
          <w:tcPr>
            <w:tcW w:w="5540" w:type="dxa"/>
            <w:vAlign w:val="bottom"/>
            <w:tcBorders>
              <w:bottom w:val="single" w:sz="8" w:color="auto"/>
              <w:right w:val="single" w:sz="8" w:color="auto"/>
            </w:tcBorders>
          </w:tcPr>
          <w:p>
            <w:pPr>
              <w:spacing w:after="0"/>
              <w:rPr>
                <w:sz w:val="6"/>
                <w:szCs w:val="6"/>
                <w:color w:val="auto"/>
              </w:rPr>
            </w:pPr>
          </w:p>
        </w:tc>
        <w:tc>
          <w:tcPr>
            <w:tcW w:w="5100" w:type="dxa"/>
            <w:vAlign w:val="bottom"/>
            <w:tcBorders>
              <w:bottom w:val="single" w:sz="8" w:color="auto"/>
              <w:right w:val="single" w:sz="8" w:color="auto"/>
            </w:tcBorders>
          </w:tcPr>
          <w:p>
            <w:pPr>
              <w:spacing w:after="0"/>
              <w:rPr>
                <w:sz w:val="6"/>
                <w:szCs w:val="6"/>
                <w:color w:val="auto"/>
              </w:rPr>
            </w:pPr>
          </w:p>
        </w:tc>
      </w:tr>
      <w:tr>
        <w:trPr>
          <w:trHeight w:val="289"/>
        </w:trPr>
        <w:tc>
          <w:tcPr>
            <w:tcW w:w="6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7)</w:t>
            </w:r>
          </w:p>
        </w:tc>
        <w:tc>
          <w:tcPr>
            <w:tcW w:w="5540" w:type="dxa"/>
            <w:vAlign w:val="bottom"/>
            <w:tcBorders>
              <w:right w:val="single" w:sz="8" w:color="auto"/>
            </w:tcBorders>
          </w:tcPr>
          <w:p>
            <w:pPr>
              <w:jc w:val="right"/>
              <w:ind w:right="4832"/>
              <w:spacing w:after="0"/>
              <w:rPr>
                <w:sz w:val="20"/>
                <w:szCs w:val="20"/>
                <w:color w:val="auto"/>
              </w:rPr>
            </w:pPr>
            <w:r>
              <w:rPr>
                <w:rFonts w:ascii="Times New Roman" w:cs="Times New Roman" w:eastAsia="Times New Roman" w:hAnsi="Times New Roman"/>
                <w:sz w:val="22"/>
                <w:szCs w:val="22"/>
                <w:color w:val="auto"/>
              </w:rPr>
              <w:t>[**]</w:t>
            </w:r>
          </w:p>
        </w:tc>
        <w:tc>
          <w:tcPr>
            <w:tcW w:w="5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69"/>
        </w:trPr>
        <w:tc>
          <w:tcPr>
            <w:tcW w:w="600" w:type="dxa"/>
            <w:vAlign w:val="bottom"/>
            <w:tcBorders>
              <w:left w:val="single" w:sz="8" w:color="auto"/>
              <w:bottom w:val="single" w:sz="8" w:color="auto"/>
            </w:tcBorders>
          </w:tcPr>
          <w:p>
            <w:pPr>
              <w:spacing w:after="0"/>
              <w:rPr>
                <w:sz w:val="6"/>
                <w:szCs w:val="6"/>
                <w:color w:val="auto"/>
              </w:rPr>
            </w:pPr>
          </w:p>
        </w:tc>
        <w:tc>
          <w:tcPr>
            <w:tcW w:w="5540" w:type="dxa"/>
            <w:vAlign w:val="bottom"/>
            <w:tcBorders>
              <w:bottom w:val="single" w:sz="8" w:color="auto"/>
              <w:right w:val="single" w:sz="8" w:color="auto"/>
            </w:tcBorders>
          </w:tcPr>
          <w:p>
            <w:pPr>
              <w:spacing w:after="0"/>
              <w:rPr>
                <w:sz w:val="6"/>
                <w:szCs w:val="6"/>
                <w:color w:val="auto"/>
              </w:rPr>
            </w:pPr>
          </w:p>
        </w:tc>
        <w:tc>
          <w:tcPr>
            <w:tcW w:w="5100" w:type="dxa"/>
            <w:vAlign w:val="bottom"/>
            <w:tcBorders>
              <w:bottom w:val="single" w:sz="8" w:color="auto"/>
              <w:right w:val="single" w:sz="8" w:color="auto"/>
            </w:tcBorders>
          </w:tcPr>
          <w:p>
            <w:pPr>
              <w:spacing w:after="0"/>
              <w:rPr>
                <w:sz w:val="6"/>
                <w:szCs w:val="6"/>
                <w:color w:val="auto"/>
              </w:rPr>
            </w:pPr>
          </w:p>
        </w:tc>
      </w:tr>
      <w:tr>
        <w:trPr>
          <w:trHeight w:val="289"/>
        </w:trPr>
        <w:tc>
          <w:tcPr>
            <w:tcW w:w="6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8)</w:t>
            </w:r>
          </w:p>
        </w:tc>
        <w:tc>
          <w:tcPr>
            <w:tcW w:w="5540" w:type="dxa"/>
            <w:vAlign w:val="bottom"/>
            <w:tcBorders>
              <w:right w:val="single" w:sz="8" w:color="auto"/>
            </w:tcBorders>
          </w:tcPr>
          <w:p>
            <w:pPr>
              <w:jc w:val="right"/>
              <w:ind w:right="4832"/>
              <w:spacing w:after="0"/>
              <w:rPr>
                <w:sz w:val="20"/>
                <w:szCs w:val="20"/>
                <w:color w:val="auto"/>
              </w:rPr>
            </w:pPr>
            <w:r>
              <w:rPr>
                <w:rFonts w:ascii="Times New Roman" w:cs="Times New Roman" w:eastAsia="Times New Roman" w:hAnsi="Times New Roman"/>
                <w:sz w:val="22"/>
                <w:szCs w:val="22"/>
                <w:color w:val="auto"/>
              </w:rPr>
              <w:t>[**]</w:t>
            </w:r>
          </w:p>
        </w:tc>
        <w:tc>
          <w:tcPr>
            <w:tcW w:w="5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69"/>
        </w:trPr>
        <w:tc>
          <w:tcPr>
            <w:tcW w:w="600" w:type="dxa"/>
            <w:vAlign w:val="bottom"/>
            <w:tcBorders>
              <w:left w:val="single" w:sz="8" w:color="auto"/>
              <w:bottom w:val="single" w:sz="8" w:color="auto"/>
            </w:tcBorders>
          </w:tcPr>
          <w:p>
            <w:pPr>
              <w:spacing w:after="0"/>
              <w:rPr>
                <w:sz w:val="6"/>
                <w:szCs w:val="6"/>
                <w:color w:val="auto"/>
              </w:rPr>
            </w:pPr>
          </w:p>
        </w:tc>
        <w:tc>
          <w:tcPr>
            <w:tcW w:w="5540" w:type="dxa"/>
            <w:vAlign w:val="bottom"/>
            <w:tcBorders>
              <w:bottom w:val="single" w:sz="8" w:color="auto"/>
              <w:right w:val="single" w:sz="8" w:color="auto"/>
            </w:tcBorders>
          </w:tcPr>
          <w:p>
            <w:pPr>
              <w:spacing w:after="0"/>
              <w:rPr>
                <w:sz w:val="6"/>
                <w:szCs w:val="6"/>
                <w:color w:val="auto"/>
              </w:rPr>
            </w:pPr>
          </w:p>
        </w:tc>
        <w:tc>
          <w:tcPr>
            <w:tcW w:w="5100" w:type="dxa"/>
            <w:vAlign w:val="bottom"/>
            <w:tcBorders>
              <w:bottom w:val="single" w:sz="8" w:color="auto"/>
              <w:right w:val="single" w:sz="8" w:color="auto"/>
            </w:tcBorders>
          </w:tcPr>
          <w:p>
            <w:pPr>
              <w:spacing w:after="0"/>
              <w:rPr>
                <w:sz w:val="6"/>
                <w:szCs w:val="6"/>
                <w:color w:val="auto"/>
              </w:rPr>
            </w:pPr>
          </w:p>
        </w:tc>
      </w:tr>
      <w:tr>
        <w:trPr>
          <w:trHeight w:val="289"/>
        </w:trPr>
        <w:tc>
          <w:tcPr>
            <w:tcW w:w="6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w w:val="99"/>
              </w:rPr>
              <w:t>Total</w:t>
            </w:r>
          </w:p>
        </w:tc>
        <w:tc>
          <w:tcPr>
            <w:tcW w:w="5540" w:type="dxa"/>
            <w:vAlign w:val="bottom"/>
            <w:tcBorders>
              <w:right w:val="single" w:sz="8" w:color="auto"/>
            </w:tcBorders>
          </w:tcPr>
          <w:p>
            <w:pPr>
              <w:spacing w:after="0"/>
              <w:rPr>
                <w:sz w:val="24"/>
                <w:szCs w:val="24"/>
                <w:color w:val="auto"/>
              </w:rPr>
            </w:pPr>
          </w:p>
        </w:tc>
        <w:tc>
          <w:tcPr>
            <w:tcW w:w="5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$487,500,000</w:t>
            </w:r>
          </w:p>
        </w:tc>
      </w:tr>
      <w:tr>
        <w:trPr>
          <w:trHeight w:val="69"/>
        </w:trPr>
        <w:tc>
          <w:tcPr>
            <w:tcW w:w="600" w:type="dxa"/>
            <w:vAlign w:val="bottom"/>
            <w:tcBorders>
              <w:left w:val="single" w:sz="8" w:color="auto"/>
              <w:bottom w:val="single" w:sz="8" w:color="auto"/>
            </w:tcBorders>
          </w:tcPr>
          <w:p>
            <w:pPr>
              <w:spacing w:after="0"/>
              <w:rPr>
                <w:sz w:val="6"/>
                <w:szCs w:val="6"/>
                <w:color w:val="auto"/>
              </w:rPr>
            </w:pPr>
          </w:p>
        </w:tc>
        <w:tc>
          <w:tcPr>
            <w:tcW w:w="5540" w:type="dxa"/>
            <w:vAlign w:val="bottom"/>
            <w:tcBorders>
              <w:bottom w:val="single" w:sz="8" w:color="auto"/>
              <w:right w:val="single" w:sz="8" w:color="auto"/>
            </w:tcBorders>
          </w:tcPr>
          <w:p>
            <w:pPr>
              <w:spacing w:after="0"/>
              <w:rPr>
                <w:sz w:val="6"/>
                <w:szCs w:val="6"/>
                <w:color w:val="auto"/>
              </w:rPr>
            </w:pPr>
          </w:p>
        </w:tc>
        <w:tc>
          <w:tcPr>
            <w:tcW w:w="51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760" w:right="20" w:firstLine="1494"/>
        <w:spacing w:after="0" w:line="239" w:lineRule="auto"/>
        <w:tabs>
          <w:tab w:leader="none" w:pos="255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clarity, each Commercial Milestone Payment shall become due and payable only once upon the achievement of the corresponding Commercial Milestone Event regardless of the number of times it is achieved. Each Commercial Milestone Payment shall be noncreditable, nonrefundable and not subject to set-off, other than as set forth in [**].</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5" w:name="page156"/>
    <w:bookmarkEnd w:id="155"/>
    <w:p>
      <w:pPr>
        <w:jc w:val="both"/>
        <w:ind w:left="760" w:firstLine="1497"/>
        <w:spacing w:after="0" w:line="239" w:lineRule="auto"/>
        <w:rPr>
          <w:sz w:val="20"/>
          <w:szCs w:val="20"/>
          <w:color w:val="auto"/>
        </w:rPr>
      </w:pPr>
      <w:r>
        <w:rPr>
          <w:rFonts w:ascii="Times New Roman" w:cs="Times New Roman" w:eastAsia="Times New Roman" w:hAnsi="Times New Roman"/>
          <w:sz w:val="22"/>
          <w:szCs w:val="22"/>
          <w:color w:val="auto"/>
        </w:rPr>
        <w:t xml:space="preserve">(iii)Solely with respect to each of Commercial Milestone Events [**], the corresponding Commercial Milestone Payment shall only be payable upon the achievement of the applicable Commercial Milestone Event if such Commercial Milestone Event is achieved by Buyer or its Affiliates and </w:t>
      </w:r>
      <w:r>
        <w:rPr>
          <w:rFonts w:ascii="Times New Roman" w:cs="Times New Roman" w:eastAsia="Times New Roman" w:hAnsi="Times New Roman"/>
          <w:sz w:val="22"/>
          <w:szCs w:val="22"/>
          <w:i w:val="1"/>
          <w:iCs w:val="1"/>
          <w:color w:val="auto"/>
        </w:rPr>
        <w:t>not</w:t>
      </w:r>
      <w:r>
        <w:rPr>
          <w:rFonts w:ascii="Times New Roman" w:cs="Times New Roman" w:eastAsia="Times New Roman" w:hAnsi="Times New Roman"/>
          <w:sz w:val="22"/>
          <w:szCs w:val="22"/>
          <w:color w:val="auto"/>
        </w:rPr>
        <w:t xml:space="preserve"> upon achievement of such Commercial Milestone Event by any other Buyer Party.</w:t>
      </w:r>
    </w:p>
    <w:p>
      <w:pPr>
        <w:spacing w:after="0" w:line="180" w:lineRule="exact"/>
        <w:rPr>
          <w:sz w:val="20"/>
          <w:szCs w:val="20"/>
          <w:color w:val="auto"/>
        </w:rPr>
      </w:pPr>
    </w:p>
    <w:p>
      <w:pPr>
        <w:jc w:val="both"/>
        <w:ind w:left="760" w:firstLine="1497"/>
        <w:spacing w:after="0" w:line="244" w:lineRule="auto"/>
        <w:rPr>
          <w:sz w:val="20"/>
          <w:szCs w:val="20"/>
          <w:color w:val="auto"/>
        </w:rPr>
      </w:pPr>
      <w:r>
        <w:rPr>
          <w:rFonts w:ascii="Times New Roman" w:cs="Times New Roman" w:eastAsia="Times New Roman" w:hAnsi="Times New Roman"/>
          <w:sz w:val="22"/>
          <w:szCs w:val="22"/>
          <w:color w:val="auto"/>
        </w:rPr>
        <w:t>(iv)For clarity, the Commercial Milestone Payments shall be additive such that if multiple Commercial Milestone Events are achieved in the same Calendar Year, then the corresponding Commercial Milestone Payments shall be payable with respect to such Calendar Year.</w:t>
      </w:r>
    </w:p>
    <w:p>
      <w:pPr>
        <w:spacing w:after="0" w:line="173" w:lineRule="exact"/>
        <w:rPr>
          <w:sz w:val="20"/>
          <w:szCs w:val="20"/>
          <w:color w:val="auto"/>
        </w:rPr>
      </w:pPr>
    </w:p>
    <w:p>
      <w:pPr>
        <w:jc w:val="both"/>
        <w:ind w:left="760" w:firstLine="1494"/>
        <w:spacing w:after="0" w:line="238" w:lineRule="auto"/>
        <w:tabs>
          <w:tab w:leader="none" w:pos="2557"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shall notify Seller in writing of the occurrence of a Commercial Milestone Event by a Buyer Party in the Royalty Report for the Calendar Quarter in which such Commercial Milestone Event was achieved. Following receipt of such notice, Seller will issue an invoice equal to the applicable Commercial Milestone Payment, and, subject to </w:t>
      </w:r>
      <w:r>
        <w:rPr>
          <w:rFonts w:ascii="Times New Roman" w:cs="Times New Roman" w:eastAsia="Times New Roman" w:hAnsi="Times New Roman"/>
          <w:sz w:val="22"/>
          <w:szCs w:val="22"/>
          <w:u w:val="single" w:color="auto"/>
          <w:color w:val="auto"/>
        </w:rPr>
        <w:t>Section 1.4(e)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Right to Offset</w:t>
      </w:r>
      <w:r>
        <w:rPr>
          <w:rFonts w:ascii="Times New Roman" w:cs="Times New Roman" w:eastAsia="Times New Roman" w:hAnsi="Times New Roman"/>
          <w:sz w:val="22"/>
          <w:szCs w:val="22"/>
          <w:color w:val="auto"/>
        </w:rPr>
        <w:t>), Buyer will, within [**] following receipt thereof, pay the amount set forth in such invoice by wire transfer of immediately available funds.</w:t>
      </w:r>
    </w:p>
    <w:p>
      <w:pPr>
        <w:spacing w:after="0" w:line="17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Royalties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left="760" w:firstLine="1494"/>
        <w:spacing w:after="0" w:line="236" w:lineRule="auto"/>
        <w:tabs>
          <w:tab w:leader="none" w:pos="2557"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Royalty Rates</w:t>
      </w:r>
      <w:r>
        <w:rPr>
          <w:rFonts w:ascii="Times New Roman" w:cs="Times New Roman" w:eastAsia="Times New Roman" w:hAnsi="Times New Roman"/>
          <w:sz w:val="22"/>
          <w:szCs w:val="22"/>
          <w:color w:val="auto"/>
        </w:rPr>
        <w:t xml:space="preserve">. Subject to the remainder of this </w:t>
      </w:r>
      <w:r>
        <w:rPr>
          <w:rFonts w:ascii="Times New Roman" w:cs="Times New Roman" w:eastAsia="Times New Roman" w:hAnsi="Times New Roman"/>
          <w:sz w:val="22"/>
          <w:szCs w:val="22"/>
          <w:u w:val="single" w:color="auto"/>
          <w:color w:val="auto"/>
        </w:rPr>
        <w:t>Section 1.4(c)(i)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Royalty Rates</w:t>
      </w:r>
      <w:r>
        <w:rPr>
          <w:rFonts w:ascii="Times New Roman" w:cs="Times New Roman" w:eastAsia="Times New Roman" w:hAnsi="Times New Roman"/>
          <w:sz w:val="22"/>
          <w:szCs w:val="22"/>
          <w:color w:val="auto"/>
        </w:rPr>
        <w:t xml:space="preserve">), on a Product-by-Product and country-by-country basis, during the Royalty Term for such Product in such country, Buyer shall pay, or cause to be paid, to the Seller, royalties based on Annual Net Sales of such Product by the Buyer Parties (subject to </w:t>
      </w:r>
      <w:r>
        <w:rPr>
          <w:rFonts w:ascii="Times New Roman" w:cs="Times New Roman" w:eastAsia="Times New Roman" w:hAnsi="Times New Roman"/>
          <w:sz w:val="22"/>
          <w:szCs w:val="22"/>
          <w:u w:val="single" w:color="auto"/>
          <w:color w:val="auto"/>
        </w:rPr>
        <w:t>Section 1.4(c)(iii)</w:t>
      </w:r>
      <w:r>
        <w:rPr>
          <w:rFonts w:ascii="Times New Roman" w:cs="Times New Roman" w:eastAsia="Times New Roman" w:hAnsi="Times New Roman"/>
          <w:sz w:val="22"/>
          <w:szCs w:val="22"/>
          <w:color w:val="auto"/>
        </w:rPr>
        <w:t xml:space="preserve"> [**] in each Calendar Year, at the applicable rate(s) set forth in the table below (such payments, “</w:t>
      </w:r>
      <w:r>
        <w:rPr>
          <w:rFonts w:ascii="Times New Roman" w:cs="Times New Roman" w:eastAsia="Times New Roman" w:hAnsi="Times New Roman"/>
          <w:sz w:val="22"/>
          <w:szCs w:val="22"/>
          <w:b w:val="1"/>
          <w:bCs w:val="1"/>
          <w:color w:val="auto"/>
        </w:rPr>
        <w:t>Royalties</w:t>
      </w:r>
      <w:r>
        <w:rPr>
          <w:rFonts w:ascii="Times New Roman" w:cs="Times New Roman" w:eastAsia="Times New Roman" w:hAnsi="Times New Roman"/>
          <w:sz w:val="22"/>
          <w:szCs w:val="22"/>
          <w:color w:val="auto"/>
        </w:rPr>
        <w:t>”). The Royalty payable with respect to each particular Product shall be calculated by multiplying the applicable royalty rate set forth in the table below by the corresponding amount of incremental Annual Net Sales of such Product [**] in the applicable Calendar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4225" cy="19735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9">
                      <a:extLst>
                        <a:ext uri="{28A0092B-C50C-407E-A947-70E740481C1C}"/>
                      </a:extLst>
                    </a:blip>
                    <a:srcRect/>
                    <a:stretch>
                      <a:fillRect/>
                    </a:stretch>
                  </pic:blipFill>
                  <pic:spPr bwMode="auto">
                    <a:xfrm>
                      <a:off x="0" y="0"/>
                      <a:ext cx="7134225" cy="1973580"/>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p>
      <w:pPr>
        <w:spacing w:after="0" w:line="23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Annual Net Sales</w:t>
      </w:r>
    </w:p>
    <w:p>
      <w:pPr>
        <w:spacing w:after="0" w:line="112" w:lineRule="exact"/>
        <w:rPr>
          <w:sz w:val="20"/>
          <w:szCs w:val="20"/>
          <w:color w:val="auto"/>
        </w:rPr>
      </w:pPr>
    </w:p>
    <w:p>
      <w:pPr>
        <w:jc w:val="right"/>
        <w:ind w:right="22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Royalty Rate</w:t>
      </w:r>
    </w:p>
    <w:p>
      <w:pPr>
        <w:spacing w:after="0" w:line="468" w:lineRule="exact"/>
        <w:rPr>
          <w:sz w:val="20"/>
          <w:szCs w:val="20"/>
          <w:color w:val="auto"/>
        </w:rPr>
      </w:pPr>
    </w:p>
    <w:p>
      <w:pPr>
        <w:sectPr>
          <w:pgSz w:w="11900" w:h="16838" w:orient="portrait"/>
          <w:cols w:equalWidth="0" w:num="2">
            <w:col w:w="8080" w:space="720"/>
            <w:col w:w="2440"/>
          </w:cols>
          <w:pgMar w:left="320" w:top="1408" w:right="339" w:bottom="1440" w:gutter="0" w:footer="0" w:header="0"/>
          <w:type w:val="continuous"/>
        </w:sectPr>
      </w:pPr>
    </w:p>
    <w:tbl>
      <w:tblPr>
        <w:tblLayout w:type="fixed"/>
        <w:tblInd w:w="0" w:type="dxa"/>
        <w:tblCellMar>
          <w:top w:w="0" w:type="dxa"/>
          <w:left w:w="0" w:type="dxa"/>
          <w:bottom w:w="0" w:type="dxa"/>
          <w:right w:w="0" w:type="dxa"/>
        </w:tblCellMar>
      </w:tblPr>
      <w:tr>
        <w:trPr>
          <w:trHeight w:val="273"/>
        </w:trPr>
        <w:tc>
          <w:tcPr>
            <w:tcW w:w="76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On that portion of Annual Net Sales of a Product [**] in a Calendar Year that is less</w:t>
            </w:r>
          </w:p>
        </w:tc>
        <w:tc>
          <w:tcPr>
            <w:tcW w:w="3640" w:type="dxa"/>
            <w:vAlign w:val="bottom"/>
            <w:tcBorders>
              <w:top w:val="single" w:sz="8" w:color="auto"/>
              <w:right w:val="single" w:sz="8" w:color="auto"/>
            </w:tcBorders>
          </w:tcPr>
          <w:p>
            <w:pPr>
              <w:jc w:val="right"/>
              <w:ind w:right="1552"/>
              <w:spacing w:after="0"/>
              <w:rPr>
                <w:sz w:val="20"/>
                <w:szCs w:val="20"/>
                <w:color w:val="auto"/>
              </w:rPr>
            </w:pPr>
            <w:r>
              <w:rPr>
                <w:rFonts w:ascii="Times New Roman" w:cs="Times New Roman" w:eastAsia="Times New Roman" w:hAnsi="Times New Roman"/>
                <w:sz w:val="22"/>
                <w:szCs w:val="22"/>
                <w:color w:val="auto"/>
              </w:rPr>
              <w:t>[**]</w:t>
            </w:r>
          </w:p>
        </w:tc>
      </w:tr>
      <w:tr>
        <w:trPr>
          <w:trHeight w:val="282"/>
        </w:trPr>
        <w:tc>
          <w:tcPr>
            <w:tcW w:w="7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than or equal to $[**]</w:t>
            </w:r>
          </w:p>
        </w:tc>
        <w:tc>
          <w:tcPr>
            <w:tcW w:w="3640" w:type="dxa"/>
            <w:vAlign w:val="bottom"/>
            <w:tcBorders>
              <w:right w:val="single" w:sz="8" w:color="auto"/>
            </w:tcBorders>
          </w:tcPr>
          <w:p>
            <w:pPr>
              <w:spacing w:after="0"/>
              <w:rPr>
                <w:sz w:val="24"/>
                <w:szCs w:val="24"/>
                <w:color w:val="auto"/>
              </w:rPr>
            </w:pPr>
          </w:p>
        </w:tc>
      </w:tr>
      <w:tr>
        <w:trPr>
          <w:trHeight w:val="52"/>
        </w:trPr>
        <w:tc>
          <w:tcPr>
            <w:tcW w:w="760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right w:val="single" w:sz="8" w:color="auto"/>
            </w:tcBorders>
          </w:tcPr>
          <w:p>
            <w:pPr>
              <w:spacing w:after="0"/>
              <w:rPr>
                <w:sz w:val="4"/>
                <w:szCs w:val="4"/>
                <w:color w:val="auto"/>
              </w:rPr>
            </w:pPr>
          </w:p>
        </w:tc>
      </w:tr>
      <w:tr>
        <w:trPr>
          <w:trHeight w:val="253"/>
        </w:trPr>
        <w:tc>
          <w:tcPr>
            <w:tcW w:w="7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On that portion of Annual Net Sales of a Product [**] in a Calendar Year that is</w:t>
            </w:r>
          </w:p>
        </w:tc>
        <w:tc>
          <w:tcPr>
            <w:tcW w:w="3640" w:type="dxa"/>
            <w:vAlign w:val="bottom"/>
            <w:tcBorders>
              <w:right w:val="single" w:sz="8" w:color="auto"/>
            </w:tcBorders>
          </w:tcPr>
          <w:p>
            <w:pPr>
              <w:jc w:val="right"/>
              <w:ind w:right="1552"/>
              <w:spacing w:after="0"/>
              <w:rPr>
                <w:sz w:val="20"/>
                <w:szCs w:val="20"/>
                <w:color w:val="auto"/>
              </w:rPr>
            </w:pPr>
            <w:r>
              <w:rPr>
                <w:rFonts w:ascii="Times New Roman" w:cs="Times New Roman" w:eastAsia="Times New Roman" w:hAnsi="Times New Roman"/>
                <w:sz w:val="22"/>
                <w:szCs w:val="22"/>
                <w:color w:val="auto"/>
              </w:rPr>
              <w:t>[**]</w:t>
            </w:r>
          </w:p>
        </w:tc>
      </w:tr>
      <w:tr>
        <w:trPr>
          <w:trHeight w:val="282"/>
        </w:trPr>
        <w:tc>
          <w:tcPr>
            <w:tcW w:w="7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greater than $[**] and less than or equal to $[**]</w:t>
            </w:r>
          </w:p>
        </w:tc>
        <w:tc>
          <w:tcPr>
            <w:tcW w:w="3640" w:type="dxa"/>
            <w:vAlign w:val="bottom"/>
            <w:tcBorders>
              <w:right w:val="single" w:sz="8" w:color="auto"/>
            </w:tcBorders>
          </w:tcPr>
          <w:p>
            <w:pPr>
              <w:spacing w:after="0"/>
              <w:rPr>
                <w:sz w:val="24"/>
                <w:szCs w:val="24"/>
                <w:color w:val="auto"/>
              </w:rPr>
            </w:pPr>
          </w:p>
        </w:tc>
      </w:tr>
      <w:tr>
        <w:trPr>
          <w:trHeight w:val="312"/>
        </w:trPr>
        <w:tc>
          <w:tcPr>
            <w:tcW w:w="7600" w:type="dxa"/>
            <w:vAlign w:val="bottom"/>
            <w:tcBorders>
              <w:bottom w:val="single" w:sz="8" w:color="auto"/>
              <w:right w:val="single" w:sz="8" w:color="auto"/>
            </w:tcBorders>
          </w:tcPr>
          <w:p>
            <w:pPr>
              <w:spacing w:after="0"/>
              <w:rPr>
                <w:sz w:val="24"/>
                <w:szCs w:val="24"/>
                <w:color w:val="auto"/>
              </w:rPr>
            </w:pPr>
          </w:p>
        </w:tc>
        <w:tc>
          <w:tcPr>
            <w:tcW w:w="3640" w:type="dxa"/>
            <w:vAlign w:val="bottom"/>
            <w:tcBorders>
              <w:bottom w:val="single" w:sz="8" w:color="auto"/>
              <w:right w:val="single" w:sz="8" w:color="auto"/>
            </w:tcBorders>
          </w:tcPr>
          <w:p>
            <w:pPr>
              <w:spacing w:after="0"/>
              <w:rPr>
                <w:sz w:val="24"/>
                <w:szCs w:val="24"/>
                <w:color w:val="auto"/>
              </w:rPr>
            </w:pPr>
          </w:p>
        </w:tc>
      </w:tr>
      <w:tr>
        <w:trPr>
          <w:trHeight w:val="250"/>
        </w:trPr>
        <w:tc>
          <w:tcPr>
            <w:tcW w:w="7600" w:type="dxa"/>
            <w:vAlign w:val="bottom"/>
            <w:tcBorders>
              <w:right w:val="single" w:sz="8" w:color="auto"/>
            </w:tcBorders>
          </w:tcPr>
          <w:p>
            <w:pPr>
              <w:ind w:left="100"/>
              <w:spacing w:after="0" w:line="249" w:lineRule="exact"/>
              <w:rPr>
                <w:sz w:val="20"/>
                <w:szCs w:val="20"/>
                <w:color w:val="auto"/>
              </w:rPr>
            </w:pPr>
            <w:r>
              <w:rPr>
                <w:rFonts w:ascii="Times New Roman" w:cs="Times New Roman" w:eastAsia="Times New Roman" w:hAnsi="Times New Roman"/>
                <w:sz w:val="22"/>
                <w:szCs w:val="22"/>
                <w:color w:val="auto"/>
              </w:rPr>
              <w:t>On that portion of Annual Net Sales of a Product [**] in a Calendar Year that is</w:t>
            </w:r>
          </w:p>
        </w:tc>
        <w:tc>
          <w:tcPr>
            <w:tcW w:w="3640" w:type="dxa"/>
            <w:vAlign w:val="bottom"/>
            <w:tcBorders>
              <w:right w:val="single" w:sz="8" w:color="auto"/>
            </w:tcBorders>
          </w:tcPr>
          <w:p>
            <w:pPr>
              <w:jc w:val="right"/>
              <w:ind w:right="1552"/>
              <w:spacing w:after="0" w:line="249" w:lineRule="exact"/>
              <w:rPr>
                <w:sz w:val="20"/>
                <w:szCs w:val="20"/>
                <w:color w:val="auto"/>
              </w:rPr>
            </w:pPr>
            <w:r>
              <w:rPr>
                <w:rFonts w:ascii="Times New Roman" w:cs="Times New Roman" w:eastAsia="Times New Roman" w:hAnsi="Times New Roman"/>
                <w:sz w:val="22"/>
                <w:szCs w:val="22"/>
                <w:color w:val="auto"/>
              </w:rPr>
              <w:t>[**]</w:t>
            </w:r>
          </w:p>
        </w:tc>
      </w:tr>
      <w:tr>
        <w:trPr>
          <w:trHeight w:val="282"/>
        </w:trPr>
        <w:tc>
          <w:tcPr>
            <w:tcW w:w="7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greater than $[**] and less than or equal to $[**]</w:t>
            </w:r>
          </w:p>
        </w:tc>
        <w:tc>
          <w:tcPr>
            <w:tcW w:w="3640" w:type="dxa"/>
            <w:vAlign w:val="bottom"/>
            <w:tcBorders>
              <w:right w:val="single" w:sz="8" w:color="auto"/>
            </w:tcBorders>
          </w:tcPr>
          <w:p>
            <w:pPr>
              <w:spacing w:after="0"/>
              <w:rPr>
                <w:sz w:val="24"/>
                <w:szCs w:val="24"/>
                <w:color w:val="auto"/>
              </w:rPr>
            </w:pPr>
          </w:p>
        </w:tc>
      </w:tr>
      <w:tr>
        <w:trPr>
          <w:trHeight w:val="312"/>
        </w:trPr>
        <w:tc>
          <w:tcPr>
            <w:tcW w:w="7600" w:type="dxa"/>
            <w:vAlign w:val="bottom"/>
            <w:tcBorders>
              <w:bottom w:val="single" w:sz="8" w:color="auto"/>
              <w:right w:val="single" w:sz="8" w:color="auto"/>
            </w:tcBorders>
          </w:tcPr>
          <w:p>
            <w:pPr>
              <w:spacing w:after="0"/>
              <w:rPr>
                <w:sz w:val="24"/>
                <w:szCs w:val="24"/>
                <w:color w:val="auto"/>
              </w:rPr>
            </w:pPr>
          </w:p>
        </w:tc>
        <w:tc>
          <w:tcPr>
            <w:tcW w:w="3640" w:type="dxa"/>
            <w:vAlign w:val="bottom"/>
            <w:tcBorders>
              <w:bottom w:val="single" w:sz="8" w:color="auto"/>
              <w:right w:val="single" w:sz="8" w:color="auto"/>
            </w:tcBorders>
          </w:tcPr>
          <w:p>
            <w:pPr>
              <w:spacing w:after="0"/>
              <w:rPr>
                <w:sz w:val="24"/>
                <w:szCs w:val="24"/>
                <w:color w:val="auto"/>
              </w:rPr>
            </w:pPr>
          </w:p>
        </w:tc>
      </w:tr>
      <w:tr>
        <w:trPr>
          <w:trHeight w:val="451"/>
        </w:trPr>
        <w:tc>
          <w:tcPr>
            <w:tcW w:w="7600" w:type="dxa"/>
            <w:vAlign w:val="bottom"/>
          </w:tcPr>
          <w:p>
            <w:pPr>
              <w:ind w:left="5580"/>
              <w:spacing w:after="0"/>
              <w:rPr>
                <w:sz w:val="20"/>
                <w:szCs w:val="20"/>
                <w:color w:val="auto"/>
              </w:rPr>
            </w:pPr>
            <w:r>
              <w:rPr>
                <w:rFonts w:ascii="Times New Roman" w:cs="Times New Roman" w:eastAsia="Times New Roman" w:hAnsi="Times New Roman"/>
                <w:sz w:val="22"/>
                <w:szCs w:val="22"/>
                <w:color w:val="auto"/>
              </w:rPr>
              <w:t>9</w:t>
            </w:r>
          </w:p>
        </w:tc>
        <w:tc>
          <w:tcPr>
            <w:tcW w:w="3640" w:type="dxa"/>
            <w:vAlign w:val="bottom"/>
          </w:tcPr>
          <w:p>
            <w:pPr>
              <w:spacing w:after="0"/>
              <w:rPr>
                <w:sz w:val="24"/>
                <w:szCs w:val="24"/>
                <w:color w:val="auto"/>
              </w:rPr>
            </w:pPr>
          </w:p>
        </w:tc>
      </w:tr>
      <w:tr>
        <w:trPr>
          <w:trHeight w:val="954"/>
        </w:trPr>
        <w:tc>
          <w:tcPr>
            <w:tcW w:w="760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type w:val="continuous"/>
        </w:sectPr>
      </w:pPr>
    </w:p>
    <w:bookmarkStart w:id="156" w:name="page157"/>
    <w:bookmarkEnd w:id="156"/>
    <w:tbl>
      <w:tblPr>
        <w:tblLayout w:type="fixed"/>
        <w:tblInd w:w="10" w:type="dxa"/>
        <w:tblCellMar>
          <w:top w:w="0" w:type="dxa"/>
          <w:left w:w="0" w:type="dxa"/>
          <w:bottom w:w="0" w:type="dxa"/>
          <w:right w:w="0" w:type="dxa"/>
        </w:tblCellMar>
      </w:tblPr>
      <w:tr>
        <w:trPr>
          <w:trHeight w:val="273"/>
        </w:trPr>
        <w:tc>
          <w:tcPr>
            <w:tcW w:w="76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On that portion of Annual Net Sales of a Product [**] in a Calendar Year that is</w:t>
            </w:r>
          </w:p>
        </w:tc>
        <w:tc>
          <w:tcPr>
            <w:tcW w:w="3640" w:type="dxa"/>
            <w:vAlign w:val="bottom"/>
            <w:tcBorders>
              <w:top w:val="single" w:sz="8" w:color="auto"/>
              <w:right w:val="single" w:sz="8" w:color="auto"/>
            </w:tcBorders>
          </w:tcPr>
          <w:p>
            <w:pPr>
              <w:jc w:val="right"/>
              <w:ind w:right="1552"/>
              <w:spacing w:after="0"/>
              <w:rPr>
                <w:sz w:val="20"/>
                <w:szCs w:val="20"/>
                <w:color w:val="auto"/>
              </w:rPr>
            </w:pPr>
            <w:r>
              <w:rPr>
                <w:rFonts w:ascii="Times New Roman" w:cs="Times New Roman" w:eastAsia="Times New Roman" w:hAnsi="Times New Roman"/>
                <w:sz w:val="22"/>
                <w:szCs w:val="22"/>
                <w:color w:val="auto"/>
              </w:rPr>
              <w:t>[**]</w:t>
            </w:r>
          </w:p>
        </w:tc>
      </w:tr>
      <w:tr>
        <w:trPr>
          <w:trHeight w:val="282"/>
        </w:trPr>
        <w:tc>
          <w:tcPr>
            <w:tcW w:w="7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greater than $[**] and less than or equal to $[**]</w:t>
            </w:r>
          </w:p>
        </w:tc>
        <w:tc>
          <w:tcPr>
            <w:tcW w:w="3640" w:type="dxa"/>
            <w:vAlign w:val="bottom"/>
            <w:tcBorders>
              <w:right w:val="single" w:sz="8" w:color="auto"/>
            </w:tcBorders>
          </w:tcPr>
          <w:p>
            <w:pPr>
              <w:spacing w:after="0"/>
              <w:rPr>
                <w:sz w:val="24"/>
                <w:szCs w:val="24"/>
                <w:color w:val="auto"/>
              </w:rPr>
            </w:pPr>
          </w:p>
        </w:tc>
      </w:tr>
      <w:tr>
        <w:trPr>
          <w:trHeight w:val="295"/>
        </w:trPr>
        <w:tc>
          <w:tcPr>
            <w:tcW w:w="7600" w:type="dxa"/>
            <w:vAlign w:val="bottom"/>
            <w:tcBorders>
              <w:left w:val="single" w:sz="8" w:color="auto"/>
              <w:bottom w:val="single" w:sz="8" w:color="auto"/>
              <w:right w:val="single" w:sz="8" w:color="auto"/>
            </w:tcBorders>
          </w:tcPr>
          <w:p>
            <w:pPr>
              <w:spacing w:after="0"/>
              <w:rPr>
                <w:sz w:val="24"/>
                <w:szCs w:val="24"/>
                <w:color w:val="auto"/>
              </w:rPr>
            </w:pPr>
          </w:p>
        </w:tc>
        <w:tc>
          <w:tcPr>
            <w:tcW w:w="3640" w:type="dxa"/>
            <w:vAlign w:val="bottom"/>
            <w:tcBorders>
              <w:bottom w:val="single" w:sz="8" w:color="auto"/>
              <w:right w:val="single" w:sz="8" w:color="auto"/>
            </w:tcBorders>
          </w:tcPr>
          <w:p>
            <w:pPr>
              <w:spacing w:after="0"/>
              <w:rPr>
                <w:sz w:val="24"/>
                <w:szCs w:val="24"/>
                <w:color w:val="auto"/>
              </w:rPr>
            </w:pPr>
          </w:p>
        </w:tc>
      </w:tr>
      <w:tr>
        <w:trPr>
          <w:trHeight w:val="253"/>
        </w:trPr>
        <w:tc>
          <w:tcPr>
            <w:tcW w:w="7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On that portion of Annual Net Sales of a Product [**] in a Calendar Year that is</w:t>
            </w:r>
          </w:p>
        </w:tc>
        <w:tc>
          <w:tcPr>
            <w:tcW w:w="3640" w:type="dxa"/>
            <w:vAlign w:val="bottom"/>
            <w:tcBorders>
              <w:right w:val="single" w:sz="8" w:color="auto"/>
            </w:tcBorders>
          </w:tcPr>
          <w:p>
            <w:pPr>
              <w:jc w:val="right"/>
              <w:ind w:right="1552"/>
              <w:spacing w:after="0"/>
              <w:rPr>
                <w:sz w:val="20"/>
                <w:szCs w:val="20"/>
                <w:color w:val="auto"/>
              </w:rPr>
            </w:pPr>
            <w:r>
              <w:rPr>
                <w:rFonts w:ascii="Times New Roman" w:cs="Times New Roman" w:eastAsia="Times New Roman" w:hAnsi="Times New Roman"/>
                <w:sz w:val="22"/>
                <w:szCs w:val="22"/>
                <w:color w:val="auto"/>
              </w:rPr>
              <w:t>[**]</w:t>
            </w:r>
          </w:p>
        </w:tc>
      </w:tr>
      <w:tr>
        <w:trPr>
          <w:trHeight w:val="282"/>
        </w:trPr>
        <w:tc>
          <w:tcPr>
            <w:tcW w:w="7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greater than $[**]</w:t>
            </w:r>
          </w:p>
        </w:tc>
        <w:tc>
          <w:tcPr>
            <w:tcW w:w="3640" w:type="dxa"/>
            <w:vAlign w:val="bottom"/>
            <w:tcBorders>
              <w:right w:val="single" w:sz="8" w:color="auto"/>
            </w:tcBorders>
          </w:tcPr>
          <w:p>
            <w:pPr>
              <w:spacing w:after="0"/>
              <w:rPr>
                <w:sz w:val="24"/>
                <w:szCs w:val="24"/>
                <w:color w:val="auto"/>
              </w:rPr>
            </w:pPr>
          </w:p>
        </w:tc>
      </w:tr>
      <w:tr>
        <w:trPr>
          <w:trHeight w:val="69"/>
        </w:trPr>
        <w:tc>
          <w:tcPr>
            <w:tcW w:w="7600" w:type="dxa"/>
            <w:vAlign w:val="bottom"/>
            <w:tcBorders>
              <w:left w:val="single" w:sz="8" w:color="auto"/>
              <w:bottom w:val="single" w:sz="8" w:color="auto"/>
              <w:right w:val="single" w:sz="8" w:color="auto"/>
            </w:tcBorders>
          </w:tcPr>
          <w:p>
            <w:pPr>
              <w:spacing w:after="0"/>
              <w:rPr>
                <w:sz w:val="6"/>
                <w:szCs w:val="6"/>
                <w:color w:val="auto"/>
              </w:rPr>
            </w:pPr>
          </w:p>
        </w:tc>
        <w:tc>
          <w:tcPr>
            <w:tcW w:w="3640" w:type="dxa"/>
            <w:vAlign w:val="bottom"/>
            <w:tcBorders>
              <w:bottom w:val="single" w:sz="8" w:color="auto"/>
              <w:right w:val="single" w:sz="8" w:color="auto"/>
            </w:tcBorders>
          </w:tcPr>
          <w:p>
            <w:pPr>
              <w:spacing w:after="0"/>
              <w:rPr>
                <w:sz w:val="6"/>
                <w:szCs w:val="6"/>
                <w:color w:val="auto"/>
              </w:rPr>
            </w:pPr>
          </w:p>
        </w:tc>
      </w:tr>
      <w:tr>
        <w:trPr>
          <w:trHeight w:val="289"/>
        </w:trPr>
        <w:tc>
          <w:tcPr>
            <w:tcW w:w="7600" w:type="dxa"/>
            <w:vAlign w:val="bottom"/>
            <w:tcBorders>
              <w:left w:val="single" w:sz="8" w:color="auto"/>
            </w:tcBorders>
          </w:tcPr>
          <w:p>
            <w:pPr>
              <w:ind w:left="5440"/>
              <w:spacing w:after="0"/>
              <w:rPr>
                <w:sz w:val="20"/>
                <w:szCs w:val="20"/>
                <w:color w:val="auto"/>
              </w:rPr>
            </w:pPr>
            <w:r>
              <w:rPr>
                <w:rFonts w:ascii="Times New Roman" w:cs="Times New Roman" w:eastAsia="Times New Roman" w:hAnsi="Times New Roman"/>
                <w:sz w:val="22"/>
                <w:szCs w:val="22"/>
                <w:b w:val="1"/>
                <w:bCs w:val="1"/>
                <w:color w:val="auto"/>
              </w:rPr>
              <w:t>[**]</w:t>
            </w:r>
          </w:p>
        </w:tc>
        <w:tc>
          <w:tcPr>
            <w:tcW w:w="3640" w:type="dxa"/>
            <w:vAlign w:val="bottom"/>
            <w:tcBorders>
              <w:right w:val="single" w:sz="8" w:color="auto"/>
            </w:tcBorders>
          </w:tcPr>
          <w:p>
            <w:pPr>
              <w:spacing w:after="0"/>
              <w:rPr>
                <w:sz w:val="24"/>
                <w:szCs w:val="24"/>
                <w:color w:val="auto"/>
              </w:rPr>
            </w:pPr>
          </w:p>
        </w:tc>
      </w:tr>
      <w:tr>
        <w:trPr>
          <w:trHeight w:val="69"/>
        </w:trPr>
        <w:tc>
          <w:tcPr>
            <w:tcW w:w="7600" w:type="dxa"/>
            <w:vAlign w:val="bottom"/>
            <w:tcBorders>
              <w:left w:val="single" w:sz="8" w:color="auto"/>
              <w:bottom w:val="single" w:sz="8" w:color="auto"/>
            </w:tcBorders>
          </w:tcPr>
          <w:p>
            <w:pPr>
              <w:spacing w:after="0"/>
              <w:rPr>
                <w:sz w:val="6"/>
                <w:szCs w:val="6"/>
                <w:color w:val="auto"/>
              </w:rPr>
            </w:pPr>
          </w:p>
        </w:tc>
        <w:tc>
          <w:tcPr>
            <w:tcW w:w="3640" w:type="dxa"/>
            <w:vAlign w:val="bottom"/>
            <w:tcBorders>
              <w:bottom w:val="single" w:sz="8" w:color="auto"/>
              <w:right w:val="single" w:sz="8" w:color="auto"/>
            </w:tcBorders>
          </w:tcPr>
          <w:p>
            <w:pPr>
              <w:spacing w:after="0"/>
              <w:rPr>
                <w:sz w:val="6"/>
                <w:szCs w:val="6"/>
                <w:color w:val="auto"/>
              </w:rPr>
            </w:pPr>
          </w:p>
        </w:tc>
      </w:tr>
      <w:tr>
        <w:trPr>
          <w:trHeight w:val="250"/>
        </w:trPr>
        <w:tc>
          <w:tcPr>
            <w:tcW w:w="7600" w:type="dxa"/>
            <w:vAlign w:val="bottom"/>
            <w:tcBorders>
              <w:left w:val="single" w:sz="8" w:color="auto"/>
              <w:right w:val="single" w:sz="8" w:color="auto"/>
            </w:tcBorders>
          </w:tcPr>
          <w:p>
            <w:pPr>
              <w:ind w:left="100"/>
              <w:spacing w:after="0" w:line="249" w:lineRule="exact"/>
              <w:rPr>
                <w:sz w:val="20"/>
                <w:szCs w:val="20"/>
                <w:color w:val="auto"/>
              </w:rPr>
            </w:pPr>
            <w:r>
              <w:rPr>
                <w:rFonts w:ascii="Times New Roman" w:cs="Times New Roman" w:eastAsia="Times New Roman" w:hAnsi="Times New Roman"/>
                <w:sz w:val="22"/>
                <w:szCs w:val="22"/>
                <w:color w:val="auto"/>
              </w:rPr>
              <w:t>On that portion of Annual Net Sales of a Product [**] in a Calendar Year that is less</w:t>
            </w:r>
          </w:p>
        </w:tc>
        <w:tc>
          <w:tcPr>
            <w:tcW w:w="3640" w:type="dxa"/>
            <w:vAlign w:val="bottom"/>
            <w:tcBorders>
              <w:right w:val="single" w:sz="8" w:color="auto"/>
            </w:tcBorders>
          </w:tcPr>
          <w:p>
            <w:pPr>
              <w:jc w:val="right"/>
              <w:ind w:right="1552"/>
              <w:spacing w:after="0" w:line="249" w:lineRule="exact"/>
              <w:rPr>
                <w:sz w:val="20"/>
                <w:szCs w:val="20"/>
                <w:color w:val="auto"/>
              </w:rPr>
            </w:pPr>
            <w:r>
              <w:rPr>
                <w:rFonts w:ascii="Times New Roman" w:cs="Times New Roman" w:eastAsia="Times New Roman" w:hAnsi="Times New Roman"/>
                <w:sz w:val="22"/>
                <w:szCs w:val="22"/>
                <w:color w:val="auto"/>
              </w:rPr>
              <w:t>[**]</w:t>
            </w:r>
          </w:p>
        </w:tc>
      </w:tr>
      <w:tr>
        <w:trPr>
          <w:trHeight w:val="282"/>
        </w:trPr>
        <w:tc>
          <w:tcPr>
            <w:tcW w:w="7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than or equal to $[**]</w:t>
            </w:r>
          </w:p>
        </w:tc>
        <w:tc>
          <w:tcPr>
            <w:tcW w:w="3640" w:type="dxa"/>
            <w:vAlign w:val="bottom"/>
            <w:tcBorders>
              <w:right w:val="single" w:sz="8" w:color="auto"/>
            </w:tcBorders>
          </w:tcPr>
          <w:p>
            <w:pPr>
              <w:spacing w:after="0"/>
              <w:rPr>
                <w:sz w:val="24"/>
                <w:szCs w:val="24"/>
                <w:color w:val="auto"/>
              </w:rPr>
            </w:pPr>
          </w:p>
        </w:tc>
      </w:tr>
      <w:tr>
        <w:trPr>
          <w:trHeight w:val="69"/>
        </w:trPr>
        <w:tc>
          <w:tcPr>
            <w:tcW w:w="7600" w:type="dxa"/>
            <w:vAlign w:val="bottom"/>
            <w:tcBorders>
              <w:left w:val="single" w:sz="8" w:color="auto"/>
              <w:bottom w:val="single" w:sz="8" w:color="auto"/>
              <w:right w:val="single" w:sz="8" w:color="auto"/>
            </w:tcBorders>
          </w:tcPr>
          <w:p>
            <w:pPr>
              <w:spacing w:after="0"/>
              <w:rPr>
                <w:sz w:val="6"/>
                <w:szCs w:val="6"/>
                <w:color w:val="auto"/>
              </w:rPr>
            </w:pPr>
          </w:p>
        </w:tc>
        <w:tc>
          <w:tcPr>
            <w:tcW w:w="3640" w:type="dxa"/>
            <w:vAlign w:val="bottom"/>
            <w:tcBorders>
              <w:bottom w:val="single" w:sz="8" w:color="auto"/>
              <w:right w:val="single" w:sz="8" w:color="auto"/>
            </w:tcBorders>
          </w:tcPr>
          <w:p>
            <w:pPr>
              <w:spacing w:after="0"/>
              <w:rPr>
                <w:sz w:val="6"/>
                <w:szCs w:val="6"/>
                <w:color w:val="auto"/>
              </w:rPr>
            </w:pPr>
          </w:p>
        </w:tc>
      </w:tr>
      <w:tr>
        <w:trPr>
          <w:trHeight w:val="250"/>
        </w:trPr>
        <w:tc>
          <w:tcPr>
            <w:tcW w:w="7600" w:type="dxa"/>
            <w:vAlign w:val="bottom"/>
            <w:tcBorders>
              <w:left w:val="single" w:sz="8" w:color="auto"/>
              <w:right w:val="single" w:sz="8" w:color="auto"/>
            </w:tcBorders>
          </w:tcPr>
          <w:p>
            <w:pPr>
              <w:ind w:left="100"/>
              <w:spacing w:after="0" w:line="249" w:lineRule="exact"/>
              <w:rPr>
                <w:sz w:val="20"/>
                <w:szCs w:val="20"/>
                <w:color w:val="auto"/>
              </w:rPr>
            </w:pPr>
            <w:r>
              <w:rPr>
                <w:rFonts w:ascii="Times New Roman" w:cs="Times New Roman" w:eastAsia="Times New Roman" w:hAnsi="Times New Roman"/>
                <w:sz w:val="22"/>
                <w:szCs w:val="22"/>
                <w:color w:val="auto"/>
              </w:rPr>
              <w:t>On that portion of Annual Net Sales of a Product [**] in a Calendar Year that is</w:t>
            </w:r>
          </w:p>
        </w:tc>
        <w:tc>
          <w:tcPr>
            <w:tcW w:w="3640" w:type="dxa"/>
            <w:vAlign w:val="bottom"/>
            <w:tcBorders>
              <w:right w:val="single" w:sz="8" w:color="auto"/>
            </w:tcBorders>
          </w:tcPr>
          <w:p>
            <w:pPr>
              <w:jc w:val="right"/>
              <w:ind w:right="1552"/>
              <w:spacing w:after="0" w:line="249" w:lineRule="exact"/>
              <w:rPr>
                <w:sz w:val="20"/>
                <w:szCs w:val="20"/>
                <w:color w:val="auto"/>
              </w:rPr>
            </w:pPr>
            <w:r>
              <w:rPr>
                <w:rFonts w:ascii="Times New Roman" w:cs="Times New Roman" w:eastAsia="Times New Roman" w:hAnsi="Times New Roman"/>
                <w:sz w:val="22"/>
                <w:szCs w:val="22"/>
                <w:color w:val="auto"/>
              </w:rPr>
              <w:t>[**]</w:t>
            </w:r>
          </w:p>
        </w:tc>
      </w:tr>
      <w:tr>
        <w:trPr>
          <w:trHeight w:val="282"/>
        </w:trPr>
        <w:tc>
          <w:tcPr>
            <w:tcW w:w="7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greater than $[**] and less than or equal to $[**]</w:t>
            </w:r>
          </w:p>
        </w:tc>
        <w:tc>
          <w:tcPr>
            <w:tcW w:w="3640" w:type="dxa"/>
            <w:vAlign w:val="bottom"/>
            <w:tcBorders>
              <w:right w:val="single" w:sz="8" w:color="auto"/>
            </w:tcBorders>
          </w:tcPr>
          <w:p>
            <w:pPr>
              <w:spacing w:after="0"/>
              <w:rPr>
                <w:sz w:val="24"/>
                <w:szCs w:val="24"/>
                <w:color w:val="auto"/>
              </w:rPr>
            </w:pPr>
          </w:p>
        </w:tc>
      </w:tr>
      <w:tr>
        <w:trPr>
          <w:trHeight w:val="325"/>
        </w:trPr>
        <w:tc>
          <w:tcPr>
            <w:tcW w:w="7600" w:type="dxa"/>
            <w:vAlign w:val="bottom"/>
            <w:tcBorders>
              <w:left w:val="single" w:sz="8" w:color="auto"/>
              <w:bottom w:val="single" w:sz="8" w:color="auto"/>
              <w:right w:val="single" w:sz="8" w:color="auto"/>
            </w:tcBorders>
          </w:tcPr>
          <w:p>
            <w:pPr>
              <w:spacing w:after="0"/>
              <w:rPr>
                <w:sz w:val="24"/>
                <w:szCs w:val="24"/>
                <w:color w:val="auto"/>
              </w:rPr>
            </w:pPr>
          </w:p>
        </w:tc>
        <w:tc>
          <w:tcPr>
            <w:tcW w:w="3640" w:type="dxa"/>
            <w:vAlign w:val="bottom"/>
            <w:tcBorders>
              <w:bottom w:val="single" w:sz="8" w:color="auto"/>
              <w:right w:val="single" w:sz="8" w:color="auto"/>
            </w:tcBorders>
          </w:tcPr>
          <w:p>
            <w:pPr>
              <w:spacing w:after="0"/>
              <w:rPr>
                <w:sz w:val="24"/>
                <w:szCs w:val="24"/>
                <w:color w:val="auto"/>
              </w:rPr>
            </w:pPr>
          </w:p>
        </w:tc>
      </w:tr>
      <w:tr>
        <w:trPr>
          <w:trHeight w:val="250"/>
        </w:trPr>
        <w:tc>
          <w:tcPr>
            <w:tcW w:w="7600" w:type="dxa"/>
            <w:vAlign w:val="bottom"/>
            <w:tcBorders>
              <w:left w:val="single" w:sz="8" w:color="auto"/>
              <w:right w:val="single" w:sz="8" w:color="auto"/>
            </w:tcBorders>
          </w:tcPr>
          <w:p>
            <w:pPr>
              <w:ind w:left="100"/>
              <w:spacing w:after="0" w:line="249" w:lineRule="exact"/>
              <w:rPr>
                <w:sz w:val="20"/>
                <w:szCs w:val="20"/>
                <w:color w:val="auto"/>
              </w:rPr>
            </w:pPr>
            <w:r>
              <w:rPr>
                <w:rFonts w:ascii="Times New Roman" w:cs="Times New Roman" w:eastAsia="Times New Roman" w:hAnsi="Times New Roman"/>
                <w:sz w:val="22"/>
                <w:szCs w:val="22"/>
                <w:color w:val="auto"/>
              </w:rPr>
              <w:t>On that portion of Annual Net Sales of a Product [**] in a Calendar Year that is</w:t>
            </w:r>
          </w:p>
        </w:tc>
        <w:tc>
          <w:tcPr>
            <w:tcW w:w="3640" w:type="dxa"/>
            <w:vAlign w:val="bottom"/>
            <w:tcBorders>
              <w:right w:val="single" w:sz="8" w:color="auto"/>
            </w:tcBorders>
          </w:tcPr>
          <w:p>
            <w:pPr>
              <w:jc w:val="right"/>
              <w:ind w:right="1552"/>
              <w:spacing w:after="0" w:line="249" w:lineRule="exact"/>
              <w:rPr>
                <w:sz w:val="20"/>
                <w:szCs w:val="20"/>
                <w:color w:val="auto"/>
              </w:rPr>
            </w:pPr>
            <w:r>
              <w:rPr>
                <w:rFonts w:ascii="Times New Roman" w:cs="Times New Roman" w:eastAsia="Times New Roman" w:hAnsi="Times New Roman"/>
                <w:sz w:val="22"/>
                <w:szCs w:val="22"/>
                <w:color w:val="auto"/>
              </w:rPr>
              <w:t>[**]</w:t>
            </w:r>
          </w:p>
        </w:tc>
      </w:tr>
      <w:tr>
        <w:trPr>
          <w:trHeight w:val="282"/>
        </w:trPr>
        <w:tc>
          <w:tcPr>
            <w:tcW w:w="7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greater than $[**] and less than or equal to $[**]</w:t>
            </w:r>
          </w:p>
        </w:tc>
        <w:tc>
          <w:tcPr>
            <w:tcW w:w="3640" w:type="dxa"/>
            <w:vAlign w:val="bottom"/>
            <w:tcBorders>
              <w:right w:val="single" w:sz="8" w:color="auto"/>
            </w:tcBorders>
          </w:tcPr>
          <w:p>
            <w:pPr>
              <w:spacing w:after="0"/>
              <w:rPr>
                <w:sz w:val="24"/>
                <w:szCs w:val="24"/>
                <w:color w:val="auto"/>
              </w:rPr>
            </w:pPr>
          </w:p>
        </w:tc>
      </w:tr>
      <w:tr>
        <w:trPr>
          <w:trHeight w:val="312"/>
        </w:trPr>
        <w:tc>
          <w:tcPr>
            <w:tcW w:w="7600" w:type="dxa"/>
            <w:vAlign w:val="bottom"/>
            <w:tcBorders>
              <w:left w:val="single" w:sz="8" w:color="auto"/>
              <w:bottom w:val="single" w:sz="8" w:color="auto"/>
              <w:right w:val="single" w:sz="8" w:color="auto"/>
            </w:tcBorders>
          </w:tcPr>
          <w:p>
            <w:pPr>
              <w:spacing w:after="0"/>
              <w:rPr>
                <w:sz w:val="24"/>
                <w:szCs w:val="24"/>
                <w:color w:val="auto"/>
              </w:rPr>
            </w:pPr>
          </w:p>
        </w:tc>
        <w:tc>
          <w:tcPr>
            <w:tcW w:w="3640" w:type="dxa"/>
            <w:vAlign w:val="bottom"/>
            <w:tcBorders>
              <w:bottom w:val="single" w:sz="8" w:color="auto"/>
              <w:right w:val="single" w:sz="8" w:color="auto"/>
            </w:tcBorders>
          </w:tcPr>
          <w:p>
            <w:pPr>
              <w:spacing w:after="0"/>
              <w:rPr>
                <w:sz w:val="24"/>
                <w:szCs w:val="24"/>
                <w:color w:val="auto"/>
              </w:rPr>
            </w:pPr>
          </w:p>
        </w:tc>
      </w:tr>
      <w:tr>
        <w:trPr>
          <w:trHeight w:val="250"/>
        </w:trPr>
        <w:tc>
          <w:tcPr>
            <w:tcW w:w="7600" w:type="dxa"/>
            <w:vAlign w:val="bottom"/>
            <w:tcBorders>
              <w:left w:val="single" w:sz="8" w:color="auto"/>
              <w:right w:val="single" w:sz="8" w:color="auto"/>
            </w:tcBorders>
          </w:tcPr>
          <w:p>
            <w:pPr>
              <w:ind w:left="100"/>
              <w:spacing w:after="0" w:line="249" w:lineRule="exact"/>
              <w:rPr>
                <w:sz w:val="20"/>
                <w:szCs w:val="20"/>
                <w:color w:val="auto"/>
              </w:rPr>
            </w:pPr>
            <w:r>
              <w:rPr>
                <w:rFonts w:ascii="Times New Roman" w:cs="Times New Roman" w:eastAsia="Times New Roman" w:hAnsi="Times New Roman"/>
                <w:sz w:val="22"/>
                <w:szCs w:val="22"/>
                <w:color w:val="auto"/>
              </w:rPr>
              <w:t>On that portion of Annual Net Sales of a Product [**] in a Calendar Year that is</w:t>
            </w:r>
          </w:p>
        </w:tc>
        <w:tc>
          <w:tcPr>
            <w:tcW w:w="3640" w:type="dxa"/>
            <w:vAlign w:val="bottom"/>
            <w:tcBorders>
              <w:right w:val="single" w:sz="8" w:color="auto"/>
            </w:tcBorders>
          </w:tcPr>
          <w:p>
            <w:pPr>
              <w:jc w:val="right"/>
              <w:ind w:right="1552"/>
              <w:spacing w:after="0" w:line="249" w:lineRule="exact"/>
              <w:rPr>
                <w:sz w:val="20"/>
                <w:szCs w:val="20"/>
                <w:color w:val="auto"/>
              </w:rPr>
            </w:pPr>
            <w:r>
              <w:rPr>
                <w:rFonts w:ascii="Times New Roman" w:cs="Times New Roman" w:eastAsia="Times New Roman" w:hAnsi="Times New Roman"/>
                <w:sz w:val="22"/>
                <w:szCs w:val="22"/>
                <w:color w:val="auto"/>
              </w:rPr>
              <w:t>[**]</w:t>
            </w:r>
          </w:p>
        </w:tc>
      </w:tr>
      <w:tr>
        <w:trPr>
          <w:trHeight w:val="282"/>
        </w:trPr>
        <w:tc>
          <w:tcPr>
            <w:tcW w:w="7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greater than $[**] and less than or equal to $[**]</w:t>
            </w:r>
          </w:p>
        </w:tc>
        <w:tc>
          <w:tcPr>
            <w:tcW w:w="3640" w:type="dxa"/>
            <w:vAlign w:val="bottom"/>
            <w:tcBorders>
              <w:right w:val="single" w:sz="8" w:color="auto"/>
            </w:tcBorders>
          </w:tcPr>
          <w:p>
            <w:pPr>
              <w:spacing w:after="0"/>
              <w:rPr>
                <w:sz w:val="24"/>
                <w:szCs w:val="24"/>
                <w:color w:val="auto"/>
              </w:rPr>
            </w:pPr>
          </w:p>
        </w:tc>
      </w:tr>
      <w:tr>
        <w:trPr>
          <w:trHeight w:val="312"/>
        </w:trPr>
        <w:tc>
          <w:tcPr>
            <w:tcW w:w="7600" w:type="dxa"/>
            <w:vAlign w:val="bottom"/>
            <w:tcBorders>
              <w:left w:val="single" w:sz="8" w:color="auto"/>
              <w:bottom w:val="single" w:sz="8" w:color="auto"/>
              <w:right w:val="single" w:sz="8" w:color="auto"/>
            </w:tcBorders>
          </w:tcPr>
          <w:p>
            <w:pPr>
              <w:spacing w:after="0"/>
              <w:rPr>
                <w:sz w:val="24"/>
                <w:szCs w:val="24"/>
                <w:color w:val="auto"/>
              </w:rPr>
            </w:pPr>
          </w:p>
        </w:tc>
        <w:tc>
          <w:tcPr>
            <w:tcW w:w="3640" w:type="dxa"/>
            <w:vAlign w:val="bottom"/>
            <w:tcBorders>
              <w:bottom w:val="single" w:sz="8" w:color="auto"/>
              <w:right w:val="single" w:sz="8" w:color="auto"/>
            </w:tcBorders>
          </w:tcPr>
          <w:p>
            <w:pPr>
              <w:spacing w:after="0"/>
              <w:rPr>
                <w:sz w:val="24"/>
                <w:szCs w:val="24"/>
                <w:color w:val="auto"/>
              </w:rPr>
            </w:pPr>
          </w:p>
        </w:tc>
      </w:tr>
      <w:tr>
        <w:trPr>
          <w:trHeight w:val="250"/>
        </w:trPr>
        <w:tc>
          <w:tcPr>
            <w:tcW w:w="7600" w:type="dxa"/>
            <w:vAlign w:val="bottom"/>
            <w:tcBorders>
              <w:left w:val="single" w:sz="8" w:color="auto"/>
              <w:right w:val="single" w:sz="8" w:color="auto"/>
            </w:tcBorders>
          </w:tcPr>
          <w:p>
            <w:pPr>
              <w:ind w:left="100"/>
              <w:spacing w:after="0" w:line="249" w:lineRule="exact"/>
              <w:rPr>
                <w:sz w:val="20"/>
                <w:szCs w:val="20"/>
                <w:color w:val="auto"/>
              </w:rPr>
            </w:pPr>
            <w:r>
              <w:rPr>
                <w:rFonts w:ascii="Times New Roman" w:cs="Times New Roman" w:eastAsia="Times New Roman" w:hAnsi="Times New Roman"/>
                <w:sz w:val="22"/>
                <w:szCs w:val="22"/>
                <w:color w:val="auto"/>
              </w:rPr>
              <w:t>On that portion of Annual Net Sales of a Product [**] in a Calendar Year that is</w:t>
            </w:r>
          </w:p>
        </w:tc>
        <w:tc>
          <w:tcPr>
            <w:tcW w:w="3640" w:type="dxa"/>
            <w:vAlign w:val="bottom"/>
            <w:tcBorders>
              <w:right w:val="single" w:sz="8" w:color="auto"/>
            </w:tcBorders>
          </w:tcPr>
          <w:p>
            <w:pPr>
              <w:jc w:val="right"/>
              <w:ind w:right="1552"/>
              <w:spacing w:after="0" w:line="249" w:lineRule="exact"/>
              <w:rPr>
                <w:sz w:val="20"/>
                <w:szCs w:val="20"/>
                <w:color w:val="auto"/>
              </w:rPr>
            </w:pPr>
            <w:r>
              <w:rPr>
                <w:rFonts w:ascii="Times New Roman" w:cs="Times New Roman" w:eastAsia="Times New Roman" w:hAnsi="Times New Roman"/>
                <w:sz w:val="22"/>
                <w:szCs w:val="22"/>
                <w:color w:val="auto"/>
              </w:rPr>
              <w:t>[**]</w:t>
            </w:r>
          </w:p>
        </w:tc>
      </w:tr>
      <w:tr>
        <w:trPr>
          <w:trHeight w:val="282"/>
        </w:trPr>
        <w:tc>
          <w:tcPr>
            <w:tcW w:w="7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greater than $[**]</w:t>
            </w:r>
          </w:p>
        </w:tc>
        <w:tc>
          <w:tcPr>
            <w:tcW w:w="3640" w:type="dxa"/>
            <w:vAlign w:val="bottom"/>
            <w:tcBorders>
              <w:right w:val="single" w:sz="8" w:color="auto"/>
            </w:tcBorders>
          </w:tcPr>
          <w:p>
            <w:pPr>
              <w:spacing w:after="0"/>
              <w:rPr>
                <w:sz w:val="24"/>
                <w:szCs w:val="24"/>
                <w:color w:val="auto"/>
              </w:rPr>
            </w:pPr>
          </w:p>
        </w:tc>
      </w:tr>
      <w:tr>
        <w:trPr>
          <w:trHeight w:val="83"/>
        </w:trPr>
        <w:tc>
          <w:tcPr>
            <w:tcW w:w="7600" w:type="dxa"/>
            <w:vAlign w:val="bottom"/>
            <w:tcBorders>
              <w:left w:val="single" w:sz="8" w:color="auto"/>
              <w:bottom w:val="single" w:sz="8" w:color="auto"/>
              <w:right w:val="single" w:sz="8" w:color="auto"/>
            </w:tcBorders>
          </w:tcPr>
          <w:p>
            <w:pPr>
              <w:spacing w:after="0"/>
              <w:rPr>
                <w:sz w:val="7"/>
                <w:szCs w:val="7"/>
                <w:color w:val="auto"/>
              </w:rPr>
            </w:pPr>
          </w:p>
        </w:tc>
        <w:tc>
          <w:tcPr>
            <w:tcW w:w="3640" w:type="dxa"/>
            <w:vAlign w:val="bottom"/>
            <w:tcBorders>
              <w:bottom w:val="single" w:sz="8" w:color="auto"/>
              <w:right w:val="single" w:sz="8" w:color="auto"/>
            </w:tcBorders>
          </w:tcPr>
          <w:p>
            <w:pPr>
              <w:spacing w:after="0"/>
              <w:rPr>
                <w:sz w:val="7"/>
                <w:szCs w:val="7"/>
                <w:color w:val="auto"/>
              </w:rPr>
            </w:pPr>
          </w:p>
        </w:tc>
      </w:tr>
    </w:tbl>
    <w:p>
      <w:pPr>
        <w:spacing w:after="0" w:line="189"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 xml:space="preserve">By way of example, if the total Annual Net Sales of a Product [**] in a particular Calendar Year is $[**], the Royalties payable hereunder shall be calculated as follows (subject to any applicable reductions under </w:t>
      </w:r>
      <w:r>
        <w:rPr>
          <w:rFonts w:ascii="Times New Roman" w:cs="Times New Roman" w:eastAsia="Times New Roman" w:hAnsi="Times New Roman"/>
          <w:sz w:val="22"/>
          <w:szCs w:val="22"/>
          <w:u w:val="single" w:color="auto"/>
          <w:color w:val="auto"/>
        </w:rPr>
        <w:t>Section 1.4(c)(iv)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Royalty Reductions</w:t>
      </w:r>
      <w:r>
        <w:rPr>
          <w:rFonts w:ascii="Times New Roman" w:cs="Times New Roman" w:eastAsia="Times New Roman" w:hAnsi="Times New Roman"/>
          <w:sz w:val="22"/>
          <w:szCs w:val="22"/>
          <w:color w:val="auto"/>
        </w:rPr>
        <w:t>)): [**].</w:t>
      </w:r>
    </w:p>
    <w:p>
      <w:pPr>
        <w:spacing w:after="0" w:line="173" w:lineRule="exact"/>
        <w:rPr>
          <w:sz w:val="20"/>
          <w:szCs w:val="20"/>
          <w:color w:val="auto"/>
        </w:rPr>
      </w:pPr>
    </w:p>
    <w:p>
      <w:pPr>
        <w:jc w:val="both"/>
        <w:ind w:left="760" w:firstLine="1494"/>
        <w:spacing w:after="0" w:line="253" w:lineRule="auto"/>
        <w:tabs>
          <w:tab w:leader="none" w:pos="2557"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Royalty Term</w:t>
      </w:r>
      <w:r>
        <w:rPr>
          <w:rFonts w:ascii="Times New Roman" w:cs="Times New Roman" w:eastAsia="Times New Roman" w:hAnsi="Times New Roman"/>
          <w:sz w:val="21"/>
          <w:szCs w:val="21"/>
          <w:color w:val="auto"/>
        </w:rPr>
        <w:t>. Royalties shall be payable, on a Product-by-Product and country-by-country basis, during the period commencing on the First Commercial Sale of such Product in such country until the later to occur of:</w:t>
      </w:r>
    </w:p>
    <w:p>
      <w:pPr>
        <w:jc w:val="both"/>
        <w:ind w:left="760" w:hanging="3"/>
        <w:spacing w:after="0" w:line="234" w:lineRule="auto"/>
        <w:tabs>
          <w:tab w:leader="none" w:pos="103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last-to- expire Valid Claim of a Transferred Patent Right or Patent Right licensed under the A&amp;R License Agreement that Covers such Product, in each case, in such country; [**]; and (ii) the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anniversary of the First Commercial Sale of such Product in such country (such period, the “</w:t>
      </w: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 for such Product in such country).</w:t>
      </w:r>
    </w:p>
    <w:p>
      <w:pPr>
        <w:spacing w:after="0" w:line="17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(iv)</w:t>
      </w:r>
      <w:r>
        <w:rPr>
          <w:rFonts w:ascii="Times New Roman" w:cs="Times New Roman" w:eastAsia="Times New Roman" w:hAnsi="Times New Roman"/>
          <w:sz w:val="22"/>
          <w:szCs w:val="22"/>
          <w:u w:val="single" w:color="auto"/>
          <w:color w:val="auto"/>
        </w:rPr>
        <w:t>Royalty Reductions</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left="2260" w:firstLine="1492"/>
        <w:spacing w:after="0" w:line="246" w:lineRule="auto"/>
        <w:tabs>
          <w:tab w:leader="none" w:pos="4087"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Lack of Valid Claims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1.4(c)(iv)(E)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Royalty Floor</w:t>
      </w:r>
      <w:r>
        <w:rPr>
          <w:rFonts w:ascii="Times New Roman" w:cs="Times New Roman" w:eastAsia="Times New Roman" w:hAnsi="Times New Roman"/>
          <w:sz w:val="22"/>
          <w:szCs w:val="22"/>
          <w:color w:val="auto"/>
        </w:rPr>
        <w:t>), on a Product-by-Product and country-by-country basis, during the Royalty Term for such Product in such country, if such Product is not Covered by a Valid Claim of a Patent Right within the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57" w:name="page158"/>
    <w:bookmarkEnd w:id="157"/>
    <w:p>
      <w:pPr>
        <w:jc w:val="both"/>
        <w:ind w:left="1140"/>
        <w:spacing w:after="0" w:line="239" w:lineRule="auto"/>
        <w:rPr>
          <w:sz w:val="20"/>
          <w:szCs w:val="20"/>
          <w:color w:val="auto"/>
        </w:rPr>
      </w:pPr>
      <w:r>
        <w:rPr>
          <w:rFonts w:ascii="Times New Roman" w:cs="Times New Roman" w:eastAsia="Times New Roman" w:hAnsi="Times New Roman"/>
          <w:sz w:val="22"/>
          <w:szCs w:val="22"/>
          <w:color w:val="auto"/>
        </w:rPr>
        <w:t xml:space="preserve">Transferred Assets or Patent Right licensed under the A&amp;R License Agreement in such country ([**]), then the royalty rates set forth in </w:t>
      </w:r>
      <w:r>
        <w:rPr>
          <w:rFonts w:ascii="Times New Roman" w:cs="Times New Roman" w:eastAsia="Times New Roman" w:hAnsi="Times New Roman"/>
          <w:sz w:val="22"/>
          <w:szCs w:val="22"/>
          <w:u w:val="single" w:color="auto"/>
          <w:color w:val="auto"/>
        </w:rPr>
        <w:t>Section 1.4(c)(i)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Royalty Rates</w:t>
      </w:r>
      <w:r>
        <w:rPr>
          <w:rFonts w:ascii="Times New Roman" w:cs="Times New Roman" w:eastAsia="Times New Roman" w:hAnsi="Times New Roman"/>
          <w:sz w:val="22"/>
          <w:szCs w:val="22"/>
          <w:color w:val="auto"/>
        </w:rPr>
        <w:t>) with respect to Net Sales of such Product in such country will be reduced by [**]% for the remainder of the Royalty Term in such country.</w:t>
      </w:r>
    </w:p>
    <w:p>
      <w:pPr>
        <w:spacing w:after="0" w:line="176" w:lineRule="exact"/>
        <w:rPr>
          <w:sz w:val="20"/>
          <w:szCs w:val="20"/>
          <w:color w:val="auto"/>
        </w:rPr>
      </w:pPr>
    </w:p>
    <w:p>
      <w:pPr>
        <w:jc w:val="both"/>
        <w:ind w:left="1140" w:firstLine="1492"/>
        <w:spacing w:after="0" w:line="246" w:lineRule="auto"/>
        <w:tabs>
          <w:tab w:leader="none" w:pos="2967"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Biosimilar Competition</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1.4(c)(iv)(E)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Royalty Floor</w:t>
      </w:r>
      <w:r>
        <w:rPr>
          <w:rFonts w:ascii="Times New Roman" w:cs="Times New Roman" w:eastAsia="Times New Roman" w:hAnsi="Times New Roman"/>
          <w:sz w:val="21"/>
          <w:szCs w:val="21"/>
          <w:color w:val="auto"/>
        </w:rPr>
        <w:t xml:space="preserve">), following the first Calendar Quarter in which there is a launch of a Biosimilar Product for a Product in any country in the Territory, if during the Royalty Term for such Product in a country in the Territory, the [**] of such Product in the relevant country in a Calendar Quarter decline by [**] or more relative to the [**] occurring during the [**] consecutive Calendar Quarters immediately preceding the launch of the Biosimilar Product, then, commencing upon the following Calendar Quarter and for so long as the [**] of such Product in such country in a Calendar Quarter continue to equal at least [**] less than the [**] occurring during the [**] consecutive Calendar Quarters immediately preceding the launch of the Biosimilar Product, the royalty rates set forth in </w:t>
      </w:r>
      <w:r>
        <w:rPr>
          <w:rFonts w:ascii="Times New Roman" w:cs="Times New Roman" w:eastAsia="Times New Roman" w:hAnsi="Times New Roman"/>
          <w:sz w:val="21"/>
          <w:szCs w:val="21"/>
          <w:u w:val="single" w:color="auto"/>
          <w:color w:val="auto"/>
        </w:rPr>
        <w:t>Section 1.4(c)(i)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Royalty Rates</w:t>
      </w:r>
      <w:r>
        <w:rPr>
          <w:rFonts w:ascii="Times New Roman" w:cs="Times New Roman" w:eastAsia="Times New Roman" w:hAnsi="Times New Roman"/>
          <w:sz w:val="21"/>
          <w:szCs w:val="21"/>
          <w:color w:val="auto"/>
        </w:rPr>
        <w:t>) with respect to Net Sales of such Product in such country, will be reduced by [**].</w:t>
      </w:r>
    </w:p>
    <w:p>
      <w:pPr>
        <w:spacing w:after="0" w:line="170" w:lineRule="exact"/>
        <w:rPr>
          <w:rFonts w:ascii="Times New Roman" w:cs="Times New Roman" w:eastAsia="Times New Roman" w:hAnsi="Times New Roman"/>
          <w:sz w:val="21"/>
          <w:szCs w:val="21"/>
          <w:color w:val="auto"/>
        </w:rPr>
      </w:pPr>
    </w:p>
    <w:p>
      <w:pPr>
        <w:jc w:val="both"/>
        <w:ind w:left="1140" w:firstLine="1492"/>
        <w:spacing w:after="0" w:line="234" w:lineRule="auto"/>
        <w:tabs>
          <w:tab w:leader="none" w:pos="2967"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Payments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1.4(c)(iv)(E)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Royalty Floor</w:t>
      </w:r>
      <w:r>
        <w:rPr>
          <w:rFonts w:ascii="Times New Roman" w:cs="Times New Roman" w:eastAsia="Times New Roman" w:hAnsi="Times New Roman"/>
          <w:sz w:val="22"/>
          <w:szCs w:val="22"/>
          <w:color w:val="auto"/>
        </w:rPr>
        <w:t xml:space="preserve">), on a Product-by-Product basis, if a Buyer Party obtains, after the Closing Date, in an arms’ length transaction a license under or other rights to any Patent Rights (or Know-How associated with such Patent Rights) owned or controlled by a Third Party that are reasonably necessary to develop, manufacture, commercialize, or otherwise exploit such Product, then the [**] payable by Buyer to Seller with respect to [**] such Product pursuant to this </w:t>
      </w:r>
      <w:r>
        <w:rPr>
          <w:rFonts w:ascii="Times New Roman" w:cs="Times New Roman" w:eastAsia="Times New Roman" w:hAnsi="Times New Roman"/>
          <w:sz w:val="22"/>
          <w:szCs w:val="22"/>
          <w:u w:val="single" w:color="auto"/>
          <w:color w:val="auto"/>
        </w:rPr>
        <w:t>Section 1.4(c)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Royalties</w:t>
      </w:r>
      <w:r>
        <w:rPr>
          <w:rFonts w:ascii="Times New Roman" w:cs="Times New Roman" w:eastAsia="Times New Roman" w:hAnsi="Times New Roman"/>
          <w:sz w:val="22"/>
          <w:szCs w:val="22"/>
          <w:color w:val="auto"/>
        </w:rPr>
        <w:t>) may be reduced by</w:t>
      </w:r>
    </w:p>
    <w:p>
      <w:pPr>
        <w:spacing w:after="0" w:line="6" w:lineRule="exact"/>
        <w:rPr>
          <w:rFonts w:ascii="Times New Roman" w:cs="Times New Roman" w:eastAsia="Times New Roman" w:hAnsi="Times New Roman"/>
          <w:sz w:val="22"/>
          <w:szCs w:val="22"/>
          <w:color w:val="auto"/>
        </w:rPr>
      </w:pPr>
    </w:p>
    <w:p>
      <w:pPr>
        <w:jc w:val="both"/>
        <w:ind w:left="1140" w:hanging="6"/>
        <w:spacing w:after="0" w:line="232" w:lineRule="auto"/>
        <w:tabs>
          <w:tab w:leader="none" w:pos="157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any amounts actually paid by such Buyer Party to such Third Party in consideration for such license;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1.4(c)(iv)(C)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Third Party Payments</w:t>
      </w:r>
      <w:r>
        <w:rPr>
          <w:rFonts w:ascii="Times New Roman" w:cs="Times New Roman" w:eastAsia="Times New Roman" w:hAnsi="Times New Roman"/>
          <w:sz w:val="22"/>
          <w:szCs w:val="22"/>
          <w:color w:val="auto"/>
        </w:rPr>
        <w:t xml:space="preserve">) shall not apply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to the extent Buyer reduces any [**] payable by Buyer to Seller for any amounts actually paid by a Buyer Party to a Third Party under this </w:t>
      </w:r>
      <w:r>
        <w:rPr>
          <w:rFonts w:ascii="Times New Roman" w:cs="Times New Roman" w:eastAsia="Times New Roman" w:hAnsi="Times New Roman"/>
          <w:sz w:val="22"/>
          <w:szCs w:val="22"/>
          <w:u w:val="single" w:color="auto"/>
          <w:color w:val="auto"/>
        </w:rPr>
        <w:t>Section 1.4(c)(iv)(C)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Third Party Payments</w:t>
      </w:r>
      <w:r>
        <w:rPr>
          <w:rFonts w:ascii="Times New Roman" w:cs="Times New Roman" w:eastAsia="Times New Roman" w:hAnsi="Times New Roman"/>
          <w:sz w:val="22"/>
          <w:szCs w:val="22"/>
          <w:color w:val="auto"/>
        </w:rPr>
        <w:t>), such reduction shall be Buyer’s sole and exclusive remedy with respect to such amounts and Buyer shall not be entitled to indemnification, or to sue for damages, or to assert any other right or remedy under this Agreement with respect to any such amounts.</w:t>
      </w:r>
    </w:p>
    <w:p>
      <w:pPr>
        <w:spacing w:after="0" w:line="177" w:lineRule="exact"/>
        <w:rPr>
          <w:rFonts w:ascii="Times New Roman" w:cs="Times New Roman" w:eastAsia="Times New Roman" w:hAnsi="Times New Roman"/>
          <w:sz w:val="22"/>
          <w:szCs w:val="22"/>
          <w:color w:val="auto"/>
        </w:rPr>
      </w:pPr>
    </w:p>
    <w:p>
      <w:pPr>
        <w:jc w:val="both"/>
        <w:ind w:left="1140" w:firstLine="1492"/>
        <w:spacing w:after="0" w:line="237" w:lineRule="auto"/>
        <w:tabs>
          <w:tab w:leader="none" w:pos="2967"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Inflation Reduction Act</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1.4(c)(iv)(E)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Royalty Floor</w:t>
      </w:r>
      <w:r>
        <w:rPr>
          <w:rFonts w:ascii="Times New Roman" w:cs="Times New Roman" w:eastAsia="Times New Roman" w:hAnsi="Times New Roman"/>
          <w:sz w:val="22"/>
          <w:szCs w:val="22"/>
          <w:color w:val="auto"/>
        </w:rPr>
        <w:t>), if, on a Product-by-Product basis, if during any Calendar Quarter during the Royalty Term for such Product in the United States, such Product is designated as a “selected drug” by the Secretary of the U.S. Department of Health and Human Services pursuant to the Inflation Reduction Act of 2022 (or analogous legislation enabling the U.S. government to negotiate drug prices), and the Buyer Parties are required to negotiate, and are ultimately subject to, a “maximum fair price”</w:t>
      </w:r>
    </w:p>
    <w:p>
      <w:pPr>
        <w:spacing w:after="0" w:line="38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607060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158" w:name="page159"/>
    <w:bookmarkEnd w:id="158"/>
    <w:p>
      <w:pPr>
        <w:jc w:val="both"/>
        <w:ind w:left="1500"/>
        <w:spacing w:after="0" w:line="238" w:lineRule="auto"/>
        <w:rPr>
          <w:sz w:val="20"/>
          <w:szCs w:val="20"/>
          <w:color w:val="auto"/>
        </w:rPr>
      </w:pPr>
      <w:r>
        <w:rPr>
          <w:rFonts w:ascii="Times New Roman" w:cs="Times New Roman" w:eastAsia="Times New Roman" w:hAnsi="Times New Roman"/>
          <w:sz w:val="22"/>
          <w:szCs w:val="22"/>
          <w:color w:val="auto"/>
        </w:rPr>
        <w:t xml:space="preserve">that will apply to sales of such Product in the United States, then the Royalties on Net Sales of Products in the United States otherwise payable by Buyer pursuant to this </w:t>
      </w:r>
      <w:r>
        <w:rPr>
          <w:rFonts w:ascii="Times New Roman" w:cs="Times New Roman" w:eastAsia="Times New Roman" w:hAnsi="Times New Roman"/>
          <w:sz w:val="22"/>
          <w:szCs w:val="22"/>
          <w:u w:val="single" w:color="auto"/>
          <w:color w:val="auto"/>
        </w:rPr>
        <w:t>Section 1.4(c)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Royalties</w:t>
      </w:r>
      <w:r>
        <w:rPr>
          <w:rFonts w:ascii="Times New Roman" w:cs="Times New Roman" w:eastAsia="Times New Roman" w:hAnsi="Times New Roman"/>
          <w:sz w:val="22"/>
          <w:szCs w:val="22"/>
          <w:color w:val="auto"/>
        </w:rPr>
        <w:t>) will be reduced [**] by a [**] the price of such Product is decreased as a result of such designation and the ensuing maximum fair price (as defined in Section 1191(c)(3) of the Social Security Act) negotiation pursuant to the aforementioned Inflation Reduction Act or analogous legislation.</w:t>
      </w:r>
    </w:p>
    <w:p>
      <w:pPr>
        <w:spacing w:after="0" w:line="173" w:lineRule="exact"/>
        <w:rPr>
          <w:sz w:val="20"/>
          <w:szCs w:val="20"/>
          <w:color w:val="auto"/>
        </w:rPr>
      </w:pPr>
    </w:p>
    <w:p>
      <w:pPr>
        <w:jc w:val="both"/>
        <w:ind w:left="1500" w:firstLine="1492"/>
        <w:spacing w:after="0" w:line="234" w:lineRule="auto"/>
        <w:tabs>
          <w:tab w:leader="none" w:pos="3327"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Royalty Floor</w:t>
      </w:r>
      <w:r>
        <w:rPr>
          <w:rFonts w:ascii="Times New Roman" w:cs="Times New Roman" w:eastAsia="Times New Roman" w:hAnsi="Times New Roman"/>
          <w:sz w:val="22"/>
          <w:szCs w:val="22"/>
          <w:color w:val="auto"/>
        </w:rPr>
        <w:t xml:space="preserve">. Notwithstanding the foregoing in this </w:t>
      </w:r>
      <w:r>
        <w:rPr>
          <w:rFonts w:ascii="Times New Roman" w:cs="Times New Roman" w:eastAsia="Times New Roman" w:hAnsi="Times New Roman"/>
          <w:sz w:val="22"/>
          <w:szCs w:val="22"/>
          <w:u w:val="single" w:color="auto"/>
          <w:color w:val="auto"/>
        </w:rPr>
        <w:t>Section 1.4(c)(iv)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Royalty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Reductions</w:t>
      </w:r>
      <w:r>
        <w:rPr>
          <w:rFonts w:ascii="Times New Roman" w:cs="Times New Roman" w:eastAsia="Times New Roman" w:hAnsi="Times New Roman"/>
          <w:sz w:val="22"/>
          <w:szCs w:val="22"/>
          <w:color w:val="auto"/>
        </w:rPr>
        <w:t>), in no event shall the Royalties payable to Seller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1.4(c)(i)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Royalty Rates</w:t>
      </w:r>
      <w:r>
        <w:rPr>
          <w:rFonts w:ascii="Times New Roman" w:cs="Times New Roman" w:eastAsia="Times New Roman" w:hAnsi="Times New Roman"/>
          <w:sz w:val="22"/>
          <w:szCs w:val="22"/>
          <w:color w:val="auto"/>
        </w:rPr>
        <w:t>) for a Product in a country in any given Calendar Quarter during the Royalty Term be reduced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less than [**] relative to what would otherwise have been due under </w:t>
      </w:r>
      <w:r>
        <w:rPr>
          <w:rFonts w:ascii="Times New Roman" w:cs="Times New Roman" w:eastAsia="Times New Roman" w:hAnsi="Times New Roman"/>
          <w:sz w:val="22"/>
          <w:szCs w:val="22"/>
          <w:u w:val="single" w:color="auto"/>
          <w:color w:val="auto"/>
        </w:rPr>
        <w:t>Section 1.4(c)(i)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Royalty Rates</w:t>
      </w:r>
      <w:r>
        <w:rPr>
          <w:rFonts w:ascii="Times New Roman" w:cs="Times New Roman" w:eastAsia="Times New Roman" w:hAnsi="Times New Roman"/>
          <w:sz w:val="22"/>
          <w:szCs w:val="22"/>
          <w:color w:val="auto"/>
        </w:rPr>
        <w:t xml:space="preserve">) absent the reductions set forth in this </w:t>
      </w:r>
      <w:r>
        <w:rPr>
          <w:rFonts w:ascii="Times New Roman" w:cs="Times New Roman" w:eastAsia="Times New Roman" w:hAnsi="Times New Roman"/>
          <w:sz w:val="22"/>
          <w:szCs w:val="22"/>
          <w:u w:val="single" w:color="auto"/>
          <w:color w:val="auto"/>
        </w:rPr>
        <w:t>Section 1.4(c)(iv)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Royalty Reductions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reduction that Buyer would have otherwise been entitled to take under this </w:t>
      </w:r>
      <w:r>
        <w:rPr>
          <w:rFonts w:ascii="Times New Roman" w:cs="Times New Roman" w:eastAsia="Times New Roman" w:hAnsi="Times New Roman"/>
          <w:sz w:val="22"/>
          <w:szCs w:val="22"/>
          <w:u w:val="single" w:color="auto"/>
          <w:color w:val="auto"/>
        </w:rPr>
        <w:t>Section 1.4(c)(iv)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Royalty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Reductions</w:t>
      </w:r>
      <w:r>
        <w:rPr>
          <w:rFonts w:ascii="Times New Roman" w:cs="Times New Roman" w:eastAsia="Times New Roman" w:hAnsi="Times New Roman"/>
          <w:sz w:val="22"/>
          <w:szCs w:val="22"/>
          <w:color w:val="auto"/>
        </w:rPr>
        <w:t>) and the permitted deduction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1.4(e)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Right to Offset</w:t>
      </w:r>
      <w:r>
        <w:rPr>
          <w:rFonts w:ascii="Times New Roman" w:cs="Times New Roman" w:eastAsia="Times New Roman" w:hAnsi="Times New Roman"/>
          <w:sz w:val="22"/>
          <w:szCs w:val="22"/>
          <w:color w:val="auto"/>
        </w:rPr>
        <w:t>) is not able to be fully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deducted as a result of the application of this </w:t>
      </w:r>
      <w:r>
        <w:rPr>
          <w:rFonts w:ascii="Times New Roman" w:cs="Times New Roman" w:eastAsia="Times New Roman" w:hAnsi="Times New Roman"/>
          <w:sz w:val="22"/>
          <w:szCs w:val="22"/>
          <w:u w:val="single" w:color="auto"/>
          <w:color w:val="auto"/>
        </w:rPr>
        <w:t>Section 1.4(c)(iv)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Royalty Reductions</w:t>
      </w:r>
      <w:r>
        <w:rPr>
          <w:rFonts w:ascii="Times New Roman" w:cs="Times New Roman" w:eastAsia="Times New Roman" w:hAnsi="Times New Roman"/>
          <w:sz w:val="22"/>
          <w:szCs w:val="22"/>
          <w:color w:val="auto"/>
        </w:rPr>
        <w:t>), then any remaining portion of such deduction may be carried forward and applied against future Royalties otherwise owed until exhausted (subject to the same [**] reduction floor).</w:t>
      </w:r>
    </w:p>
    <w:p>
      <w:pPr>
        <w:spacing w:after="0" w:line="183" w:lineRule="exact"/>
        <w:rPr>
          <w:rFonts w:ascii="Times New Roman" w:cs="Times New Roman" w:eastAsia="Times New Roman" w:hAnsi="Times New Roman"/>
          <w:sz w:val="22"/>
          <w:szCs w:val="22"/>
          <w:color w:val="auto"/>
        </w:rPr>
      </w:pPr>
    </w:p>
    <w:p>
      <w:pPr>
        <w:ind w:left="1800" w:hanging="306"/>
        <w:spacing w:after="0"/>
        <w:tabs>
          <w:tab w:leader="none" w:pos="18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 of Royalty Adjustments</w:t>
      </w:r>
      <w:r>
        <w:rPr>
          <w:rFonts w:ascii="Times New Roman" w:cs="Times New Roman" w:eastAsia="Times New Roman" w:hAnsi="Times New Roman"/>
          <w:sz w:val="22"/>
          <w:szCs w:val="22"/>
          <w:color w:val="auto"/>
        </w:rPr>
        <w:t>. [**].</w:t>
      </w:r>
    </w:p>
    <w:p>
      <w:pPr>
        <w:spacing w:after="0" w:line="206"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(vi)</w:t>
      </w:r>
      <w:r>
        <w:rPr>
          <w:rFonts w:ascii="Times New Roman" w:cs="Times New Roman" w:eastAsia="Times New Roman" w:hAnsi="Times New Roman"/>
          <w:sz w:val="22"/>
          <w:szCs w:val="22"/>
          <w:u w:val="single" w:color="auto"/>
          <w:color w:val="auto"/>
        </w:rPr>
        <w:t>Royalty Payments and Reports</w:t>
      </w:r>
      <w:r>
        <w:rPr>
          <w:rFonts w:ascii="Times New Roman" w:cs="Times New Roman" w:eastAsia="Times New Roman" w:hAnsi="Times New Roman"/>
          <w:sz w:val="22"/>
          <w:szCs w:val="22"/>
          <w:color w:val="auto"/>
        </w:rPr>
        <w:t xml:space="preserve">. Within [**] after the end of each Calendar Quarter during the Royalty Term, Buyer shall provide Seller with a royalty report providing a statement, on a Product-by-Product and country-by-country basis, of: (A) the amount of Net Sales of such Product in such country during the applicable Calendar Quarter calculated in U.S. dollars, (B) a calculation of the amount of Royalties due in U.S. dollars on such Net Sales of such Product for such Calendar Quarter, and (C) with respect to calculations applicable to countries outside of the United States, the exchange rate calculated in accordance with </w:t>
      </w:r>
      <w:r>
        <w:rPr>
          <w:rFonts w:ascii="Times New Roman" w:cs="Times New Roman" w:eastAsia="Times New Roman" w:hAnsi="Times New Roman"/>
          <w:sz w:val="22"/>
          <w:szCs w:val="22"/>
          <w:u w:val="single" w:color="auto"/>
          <w:color w:val="auto"/>
        </w:rPr>
        <w:t>Section 1.4(c)(vii)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Exchange</w:t>
      </w:r>
      <w:r>
        <w:rPr>
          <w:rFonts w:ascii="Times New Roman" w:cs="Times New Roman" w:eastAsia="Times New Roman" w:hAnsi="Times New Roman"/>
          <w:sz w:val="22"/>
          <w:szCs w:val="22"/>
          <w:color w:val="auto"/>
        </w:rPr>
        <w:t>) and used to determine the foregoing amounts ((A)-(C)) (each such royalty report, a “</w:t>
      </w:r>
      <w:r>
        <w:rPr>
          <w:rFonts w:ascii="Times New Roman" w:cs="Times New Roman" w:eastAsia="Times New Roman" w:hAnsi="Times New Roman"/>
          <w:sz w:val="22"/>
          <w:szCs w:val="22"/>
          <w:b w:val="1"/>
          <w:bCs w:val="1"/>
          <w:color w:val="auto"/>
        </w:rPr>
        <w:t>Royalty Report</w:t>
      </w:r>
      <w:r>
        <w:rPr>
          <w:rFonts w:ascii="Times New Roman" w:cs="Times New Roman" w:eastAsia="Times New Roman" w:hAnsi="Times New Roman"/>
          <w:sz w:val="22"/>
          <w:szCs w:val="22"/>
          <w:color w:val="auto"/>
        </w:rPr>
        <w:t>”). Seller shall submit an invoice to Buyer with respect to the Royalty amount set forth therein, and Buyer will pay such amount within [**] after the receipt of such invoice.</w:t>
      </w:r>
    </w:p>
    <w:p>
      <w:pPr>
        <w:spacing w:after="0" w:line="18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(vii)</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If any amounts that are relevant to the determination of amounts to be paid under this Agreement or any calculations to be performed under this Agreement are denoted in a currency other than U.S. dollars, then such amounts will be converted to their U.S. dollar equivalent using Buyer’s or its Affiliate’s then-current standard procedures and methodology, including its then-current standard exchange rate methodology for the translation of foreign currency expenses into U.S. dollars or, in the case of (Sub)licensees, such similar methodology, consistently applied in accordance with GAAP or International Financial Reporting Standards (IFRS), as applicable. Calculation of Net Sales will exclude hedging and foreign exchange gain or loss realized through a hedging program.</w:t>
      </w:r>
    </w:p>
    <w:p>
      <w:pPr>
        <w:spacing w:after="0" w:line="38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607060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59" w:name="page160"/>
    <w:bookmarkEnd w:id="159"/>
    <w:p>
      <w:pPr>
        <w:jc w:val="both"/>
        <w:ind w:firstLine="1505"/>
        <w:spacing w:after="0" w:line="238" w:lineRule="auto"/>
        <w:tabs>
          <w:tab w:leader="none" w:pos="203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Sharing of (Sub)license Income</w:t>
      </w:r>
      <w:r>
        <w:rPr>
          <w:rFonts w:ascii="Times New Roman" w:cs="Times New Roman" w:eastAsia="Times New Roman" w:hAnsi="Times New Roman"/>
          <w:sz w:val="22"/>
          <w:szCs w:val="22"/>
          <w:color w:val="auto"/>
        </w:rPr>
        <w:t>. Buyer shall pay Seller [**] of (Sub)license Income within [**] following the end of the Calendar Quarter in which such (Sub)license Income is received by Buyer or any of its Affiliates. In the event the rights granted to a (Sub)licensee include a grant or other transfer of rights with respect to a Product along with a grant of rights or obligations with respect to other compounds or products that are owned or otherwise controlled by Buyer or any of its Affiliates, then [**].</w:t>
      </w:r>
    </w:p>
    <w:p>
      <w:pPr>
        <w:spacing w:after="0" w:line="176"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Offset</w:t>
      </w:r>
      <w:r>
        <w:rPr>
          <w:rFonts w:ascii="Times New Roman" w:cs="Times New Roman" w:eastAsia="Times New Roman" w:hAnsi="Times New Roman"/>
          <w:sz w:val="22"/>
          <w:szCs w:val="22"/>
          <w:color w:val="auto"/>
        </w:rPr>
        <w:t xml:space="preserve">. Buyer may deduct from any Development and Regulatory Milestone Payment, Commercial Milestone Payment, Royalties, (Sub)license Income, or any other payment made by Buyer to Seller under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Contingent Consideration</w:t>
      </w:r>
      <w:r>
        <w:rPr>
          <w:rFonts w:ascii="Times New Roman" w:cs="Times New Roman" w:eastAsia="Times New Roman" w:hAnsi="Times New Roman"/>
          <w:sz w:val="22"/>
          <w:szCs w:val="22"/>
          <w:color w:val="auto"/>
        </w:rPr>
        <w:t>), [**], an “</w:t>
      </w:r>
      <w:r>
        <w:rPr>
          <w:rFonts w:ascii="Times New Roman" w:cs="Times New Roman" w:eastAsia="Times New Roman" w:hAnsi="Times New Roman"/>
          <w:sz w:val="22"/>
          <w:szCs w:val="22"/>
          <w:b w:val="1"/>
          <w:bCs w:val="1"/>
          <w:color w:val="auto"/>
        </w:rPr>
        <w:t>Eligible Offset Amount</w:t>
      </w:r>
      <w:r>
        <w:rPr>
          <w:rFonts w:ascii="Times New Roman" w:cs="Times New Roman" w:eastAsia="Times New Roman" w:hAnsi="Times New Roman"/>
          <w:sz w:val="22"/>
          <w:szCs w:val="22"/>
          <w:color w:val="auto"/>
        </w:rPr>
        <w:t>”). Notwithstanding the foregoing, Buyer must deduct any Eligible Offset Amount from Development and Regulatory Milestone Payments, Commercial Milestone Payments, Royalties, or any other payments payable by Buyer to Seller under this Agreement at its earliest opportunity(ies) to do so [**]. To the extent Buyer deducts any Eligible Offset Amount actually paid to the Third Party licensor under an Upstream License Agreement against any payments due to Seller hereunder, such deduction shall be Buyer’s sole and exclusive remedy with respect to any such Eligible Offset Amount and Buyer shall not be entitled to indemnification, or to sue for damages or to assert any other right or remedy under this Agreement, with respect to any such Eligible Offset Amount.</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1.5</w:t>
      </w:r>
      <w:r>
        <w:rPr>
          <w:rFonts w:ascii="Times New Roman" w:cs="Times New Roman" w:eastAsia="Times New Roman" w:hAnsi="Times New Roman"/>
          <w:sz w:val="22"/>
          <w:szCs w:val="22"/>
          <w:u w:val="single" w:color="auto"/>
          <w:color w:val="auto"/>
        </w:rPr>
        <w:t>Late Payments</w:t>
      </w:r>
      <w:r>
        <w:rPr>
          <w:rFonts w:ascii="Times New Roman" w:cs="Times New Roman" w:eastAsia="Times New Roman" w:hAnsi="Times New Roman"/>
          <w:sz w:val="22"/>
          <w:szCs w:val="22"/>
          <w:color w:val="auto"/>
        </w:rPr>
        <w:t xml:space="preserve">. In the event Seller does not receive any payment from Buyer on or before the applicable date set forth this Agreement through no fault of the Seller (including, any Development and Regulatory Milestone Payment due in accordance with </w:t>
      </w:r>
      <w:r>
        <w:rPr>
          <w:rFonts w:ascii="Times New Roman" w:cs="Times New Roman" w:eastAsia="Times New Roman" w:hAnsi="Times New Roman"/>
          <w:sz w:val="22"/>
          <w:szCs w:val="22"/>
          <w:u w:val="single" w:color="auto"/>
          <w:color w:val="auto"/>
        </w:rPr>
        <w:t>Section 1.4(a)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Development and Regulatory Milestone Payments</w:t>
      </w:r>
      <w:r>
        <w:rPr>
          <w:rFonts w:ascii="Times New Roman" w:cs="Times New Roman" w:eastAsia="Times New Roman" w:hAnsi="Times New Roman"/>
          <w:sz w:val="22"/>
          <w:szCs w:val="22"/>
          <w:color w:val="auto"/>
        </w:rPr>
        <w:t xml:space="preserve">), Commercial Milestone Payment due in accordance with </w:t>
      </w:r>
      <w:r>
        <w:rPr>
          <w:rFonts w:ascii="Times New Roman" w:cs="Times New Roman" w:eastAsia="Times New Roman" w:hAnsi="Times New Roman"/>
          <w:sz w:val="22"/>
          <w:szCs w:val="22"/>
          <w:u w:val="single" w:color="auto"/>
          <w:color w:val="auto"/>
        </w:rPr>
        <w:t>Section 1.4(b)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Commercial Milestone Payments</w:t>
      </w:r>
      <w:r>
        <w:rPr>
          <w:rFonts w:ascii="Times New Roman" w:cs="Times New Roman" w:eastAsia="Times New Roman" w:hAnsi="Times New Roman"/>
          <w:sz w:val="22"/>
          <w:szCs w:val="22"/>
          <w:color w:val="auto"/>
        </w:rPr>
        <w:t xml:space="preserve">), Royalties due in accordance with </w:t>
      </w:r>
      <w:r>
        <w:rPr>
          <w:rFonts w:ascii="Times New Roman" w:cs="Times New Roman" w:eastAsia="Times New Roman" w:hAnsi="Times New Roman"/>
          <w:sz w:val="22"/>
          <w:szCs w:val="22"/>
          <w:u w:val="single" w:color="auto"/>
          <w:color w:val="auto"/>
        </w:rPr>
        <w:t>Section 1.4(c)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Royalties</w:t>
      </w:r>
      <w:r>
        <w:rPr>
          <w:rFonts w:ascii="Times New Roman" w:cs="Times New Roman" w:eastAsia="Times New Roman" w:hAnsi="Times New Roman"/>
          <w:sz w:val="22"/>
          <w:szCs w:val="22"/>
          <w:color w:val="auto"/>
        </w:rPr>
        <w:t xml:space="preserve">), (Sub)license Income payments due in accordance with </w:t>
      </w:r>
      <w:r>
        <w:rPr>
          <w:rFonts w:ascii="Times New Roman" w:cs="Times New Roman" w:eastAsia="Times New Roman" w:hAnsi="Times New Roman"/>
          <w:sz w:val="22"/>
          <w:szCs w:val="22"/>
          <w:u w:val="single" w:color="auto"/>
          <w:color w:val="auto"/>
        </w:rPr>
        <w:t>Section 1.4(d)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Sharing of (Sub)license Income</w:t>
      </w:r>
      <w:r>
        <w:rPr>
          <w:rFonts w:ascii="Times New Roman" w:cs="Times New Roman" w:eastAsia="Times New Roman" w:hAnsi="Times New Roman"/>
          <w:sz w:val="22"/>
          <w:szCs w:val="22"/>
          <w:color w:val="auto"/>
        </w:rPr>
        <w:t xml:space="preserve">) and payment as a result of an audit due in accordance with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Inspection of Buyer Records</w:t>
      </w:r>
      <w:r>
        <w:rPr>
          <w:rFonts w:ascii="Times New Roman" w:cs="Times New Roman" w:eastAsia="Times New Roman" w:hAnsi="Times New Roman"/>
          <w:sz w:val="22"/>
          <w:szCs w:val="22"/>
          <w:color w:val="auto"/>
        </w:rPr>
        <w:t>)), simple interest shall accrue thereafter on such overdue amount at a rate equal to the lesser of: (a) [**] per month, or (b) the maximum rate permitted by applicable Laws, in each case calculated on the number of days such payment is delinquent, compounded monthly.</w:t>
      </w:r>
    </w:p>
    <w:p>
      <w:pPr>
        <w:spacing w:after="0" w:line="17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1.6</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xml:space="preserve">. Buyer shall keep, and shall cause the other Buyer Parties to keep, complete, true and accurate books of accounts and records sufficient to determine and establish the amounts payable incurred under this Agreement, and compliance with the other terms and conditions of this Agreement. Such books and records shall be kept reasonably accessible and shall be made available for inspection for a [**] period in accordance with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Inspection of Buyer Records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1.7</w:t>
      </w:r>
      <w:r>
        <w:rPr>
          <w:rFonts w:ascii="Times New Roman" w:cs="Times New Roman" w:eastAsia="Times New Roman" w:hAnsi="Times New Roman"/>
          <w:sz w:val="22"/>
          <w:szCs w:val="22"/>
          <w:u w:val="single" w:color="auto"/>
          <w:color w:val="auto"/>
        </w:rPr>
        <w:t>Inspection of Buyer Records</w:t>
      </w:r>
      <w:r>
        <w:rPr>
          <w:rFonts w:ascii="Times New Roman" w:cs="Times New Roman" w:eastAsia="Times New Roman" w:hAnsi="Times New Roman"/>
          <w:sz w:val="22"/>
          <w:szCs w:val="22"/>
          <w:color w:val="auto"/>
        </w:rPr>
        <w:t xml:space="preserve">. Upon reasonable prior written notice, Buyer shall permit, and shall cause its Affiliates to permit, an independent nationally recognized certified public accounting firm (subject to obligations of confidentiality to Buyer), appointed by Seller and reasonably acceptable to Buyer, to inspect the audited financial records of Buyer during regular business hours to the extent relating to payments to Seller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inspection shall not occur (a) more often than [**], unless a material error is discovered as part of such inspection in which case Seller shall have the right to conduct a more thorough inspection for such period or (b) more frequently than [**] with respect to such records covering</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1"/>
          <w:szCs w:val="21"/>
          <w:color w:val="auto"/>
        </w:rPr>
        <w:t>any specific period of time. In addition, the Seller shall only be entitled to audit such records of Buyer and its Affiliates from the</w:t>
      </w:r>
    </w:p>
    <w:p>
      <w:pPr>
        <w:spacing w:after="0" w:line="26" w:lineRule="exact"/>
        <w:rPr>
          <w:sz w:val="20"/>
          <w:szCs w:val="20"/>
          <w:color w:val="auto"/>
        </w:rPr>
      </w:pPr>
    </w:p>
    <w:p>
      <w:pPr>
        <w:jc w:val="both"/>
        <w:ind w:firstLine="8"/>
        <w:spacing w:after="0" w:line="232" w:lineRule="auto"/>
        <w:tabs>
          <w:tab w:leader="none" w:pos="43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which the audit request is made. In addition, Buyer shall, and shall cause its Affiliates to ensure Buyer or its Affiliates have an audit right of each (Sub)licensee. Seller agrees to hold in strict confidence all information received and all information learned in the course of any audit or inspection, which information shall constitute the confidential information of Buyer, except to the extent necessary to enforce its rights under this Agreement or to the extent required to comply with any applicable Laws. Any inspection conducted under this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Inspection of Buyer Records</w:t>
      </w:r>
      <w:r>
        <w:rPr>
          <w:rFonts w:ascii="Times New Roman" w:cs="Times New Roman" w:eastAsia="Times New Roman" w:hAnsi="Times New Roman"/>
          <w:sz w:val="22"/>
          <w:szCs w:val="22"/>
          <w:color w:val="auto"/>
        </w:rPr>
        <w:t>) shall be at the cost and expense of Seller, unless such inspection reveals any underpayment of the amounts due hereunder for the audited period by at least [**], in which case the full costs of such inspection for such period shall be borne by Buyer. Any overpayment by Buyer, at Buyer’s election, shall (i) by submission of an invoice to Seller, which shall be paid by Seller within [**] following receipt thereof or (ii) be offset by Buyer against future payments due by Buyer to Seller hereunder.</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1.8</w:t>
      </w:r>
      <w:r>
        <w:rPr>
          <w:rFonts w:ascii="Times New Roman" w:cs="Times New Roman" w:eastAsia="Times New Roman" w:hAnsi="Times New Roman"/>
          <w:sz w:val="22"/>
          <w:szCs w:val="22"/>
          <w:u w:val="single" w:color="auto"/>
          <w:color w:val="auto"/>
        </w:rPr>
        <w:t>Commercially Reasonable Efforts</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firstLine="1505"/>
        <w:spacing w:after="0" w:line="246" w:lineRule="auto"/>
        <w:tabs>
          <w:tab w:leader="none" w:pos="203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Diligence Obligations</w:t>
      </w:r>
      <w:r>
        <w:rPr>
          <w:rFonts w:ascii="Times New Roman" w:cs="Times New Roman" w:eastAsia="Times New Roman" w:hAnsi="Times New Roman"/>
          <w:sz w:val="22"/>
          <w:szCs w:val="22"/>
          <w:color w:val="auto"/>
        </w:rPr>
        <w:t>. From the Closing Date until [**] the “</w:t>
      </w:r>
      <w:r>
        <w:rPr>
          <w:rFonts w:ascii="Times New Roman" w:cs="Times New Roman" w:eastAsia="Times New Roman" w:hAnsi="Times New Roman"/>
          <w:sz w:val="22"/>
          <w:szCs w:val="22"/>
          <w:b w:val="1"/>
          <w:bCs w:val="1"/>
          <w:color w:val="auto"/>
        </w:rPr>
        <w:t>Diligence Expiration Date</w:t>
      </w:r>
      <w:r>
        <w:rPr>
          <w:rFonts w:ascii="Times New Roman" w:cs="Times New Roman" w:eastAsia="Times New Roman" w:hAnsi="Times New Roman"/>
          <w:sz w:val="22"/>
          <w:szCs w:val="22"/>
          <w:color w:val="auto"/>
        </w:rPr>
        <w:t>”), the Buyer Parties shall use (either directly or through its Affiliates and (Sub)licensees) Commercially Reasonable Efforts to obtain Regulatory Approval for one Product in the United States.</w:t>
      </w:r>
    </w:p>
    <w:p>
      <w:pPr>
        <w:spacing w:after="0" w:line="171"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Acknowledgement</w:t>
      </w:r>
      <w:r>
        <w:rPr>
          <w:rFonts w:ascii="Times New Roman" w:cs="Times New Roman" w:eastAsia="Times New Roman" w:hAnsi="Times New Roman"/>
          <w:sz w:val="22"/>
          <w:szCs w:val="22"/>
          <w:color w:val="auto"/>
        </w:rPr>
        <w:t>. Seller (on behalf of itself and the Selling Affiliates) acknowledges that the development of the Products is uncertain and that the Buyer Parties may not achieve the results requiring payment of the Development and Regulatory Milestone Payments, Commercial Milestone Payments, or Royalties. Seller (on behalf of itself and the Selling Affiliates) also acknowledges and stipulates that:</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557"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(A) has made no guarantees or promises and has provided no assurance that any Development and Regulatory Milestone Event or Commercial Milestone Event will be achieved at all or that any Product will generate any Net Sales upon which a Royalty will be due, and (B) has made no assessments or predictions regarding the likelihood of any such milestone being achieved or of any such sales occurring;</w:t>
      </w:r>
    </w:p>
    <w:p>
      <w:pPr>
        <w:spacing w:after="0" w:line="180" w:lineRule="exact"/>
        <w:rPr>
          <w:rFonts w:ascii="Times New Roman" w:cs="Times New Roman" w:eastAsia="Times New Roman" w:hAnsi="Times New Roman"/>
          <w:sz w:val="22"/>
          <w:szCs w:val="22"/>
          <w:color w:val="auto"/>
        </w:rPr>
      </w:pPr>
    </w:p>
    <w:p>
      <w:pPr>
        <w:ind w:left="760" w:right="20" w:firstLine="1494"/>
        <w:spacing w:after="0" w:line="282" w:lineRule="auto"/>
        <w:tabs>
          <w:tab w:leader="none" w:pos="2557"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has not, prior to or after the date hereof, promised or projected any amounts to be received by Seller under this Agreement other than the Upfront Consideration and the Development and Regulatory Milestone 1;</w:t>
      </w:r>
    </w:p>
    <w:p>
      <w:pPr>
        <w:spacing w:after="0" w:line="135" w:lineRule="exact"/>
        <w:rPr>
          <w:sz w:val="20"/>
          <w:szCs w:val="20"/>
          <w:color w:val="auto"/>
        </w:rPr>
      </w:pPr>
    </w:p>
    <w:p>
      <w:pPr>
        <w:jc w:val="both"/>
        <w:ind w:left="760" w:firstLine="1497"/>
        <w:spacing w:after="0" w:line="244" w:lineRule="auto"/>
        <w:rPr>
          <w:sz w:val="20"/>
          <w:szCs w:val="20"/>
          <w:color w:val="auto"/>
        </w:rPr>
      </w:pPr>
      <w:r>
        <w:rPr>
          <w:rFonts w:ascii="Times New Roman" w:cs="Times New Roman" w:eastAsia="Times New Roman" w:hAnsi="Times New Roman"/>
          <w:sz w:val="22"/>
          <w:szCs w:val="22"/>
          <w:color w:val="auto"/>
        </w:rPr>
        <w:t>(iii)none of the Seller or any Selling Affiliate is relying on or has relied on any promises, projections, representations, or warranties of any kind or other information, documents, or materials (or absence thereof) in respect of any payments described in this Agreement (other than those expressly set forth in this Agreement);</w:t>
      </w:r>
    </w:p>
    <w:p>
      <w:pPr>
        <w:spacing w:after="0" w:line="173" w:lineRule="exact"/>
        <w:rPr>
          <w:sz w:val="20"/>
          <w:szCs w:val="20"/>
          <w:color w:val="auto"/>
        </w:rPr>
      </w:pPr>
    </w:p>
    <w:p>
      <w:pPr>
        <w:jc w:val="both"/>
        <w:ind w:left="760" w:firstLine="1497"/>
        <w:spacing w:after="0" w:line="258" w:lineRule="auto"/>
        <w:rPr>
          <w:sz w:val="20"/>
          <w:szCs w:val="20"/>
          <w:color w:val="auto"/>
        </w:rPr>
      </w:pPr>
      <w:r>
        <w:rPr>
          <w:rFonts w:ascii="Times New Roman" w:cs="Times New Roman" w:eastAsia="Times New Roman" w:hAnsi="Times New Roman"/>
          <w:sz w:val="22"/>
          <w:szCs w:val="22"/>
          <w:color w:val="auto"/>
        </w:rPr>
        <w:t>(iv)the Buyer Parties are not prohibited from developing or commercializing (or acquiring or in-licensing) assets or businesses related to other products that may compete with the Products; and</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1" w:name="page162"/>
    <w:bookmarkEnd w:id="161"/>
    <w:p>
      <w:pPr>
        <w:jc w:val="both"/>
        <w:ind w:left="760" w:firstLine="1494"/>
        <w:spacing w:after="0" w:line="241" w:lineRule="auto"/>
        <w:tabs>
          <w:tab w:leader="none" w:pos="2557"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obligations set forth in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Commercially Reasonable Efforts</w:t>
      </w:r>
      <w:r>
        <w:rPr>
          <w:rFonts w:ascii="Times New Roman" w:cs="Times New Roman" w:eastAsia="Times New Roman" w:hAnsi="Times New Roman"/>
          <w:sz w:val="22"/>
          <w:szCs w:val="22"/>
          <w:color w:val="auto"/>
        </w:rPr>
        <w:t>), the Buyer Parties shall have sole control and authority to operate the Business, develop Products, and otherwise use and exploit the Transferred Assets in any way that Buyer deems appropriate in its sole business judgment and in its sole and absolute discretion.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1.9</w:t>
      </w:r>
      <w:r>
        <w:rPr>
          <w:rFonts w:ascii="Times New Roman" w:cs="Times New Roman" w:eastAsia="Times New Roman" w:hAnsi="Times New Roman"/>
          <w:sz w:val="22"/>
          <w:szCs w:val="22"/>
          <w:u w:val="single" w:color="auto"/>
          <w:color w:val="auto"/>
        </w:rPr>
        <w:t>Development Updates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9" w:lineRule="auto"/>
        <w:tabs>
          <w:tab w:leader="none" w:pos="203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Development Plan</w:t>
      </w:r>
      <w:r>
        <w:rPr>
          <w:rFonts w:ascii="Times New Roman" w:cs="Times New Roman" w:eastAsia="Times New Roman" w:hAnsi="Times New Roman"/>
          <w:sz w:val="22"/>
          <w:szCs w:val="22"/>
          <w:color w:val="auto"/>
        </w:rPr>
        <w:t>. Within [**] following the Closing, Buyer will deliver to Seller a development plan (including [**]) that sets forth the planned development of the Products through [**] (the “</w:t>
      </w:r>
      <w:r>
        <w:rPr>
          <w:rFonts w:ascii="Times New Roman" w:cs="Times New Roman" w:eastAsia="Times New Roman" w:hAnsi="Times New Roman"/>
          <w:sz w:val="22"/>
          <w:szCs w:val="22"/>
          <w:b w:val="1"/>
          <w:bCs w:val="1"/>
          <w:color w:val="auto"/>
        </w:rPr>
        <w:t>Development Plan</w:t>
      </w:r>
      <w:r>
        <w:rPr>
          <w:rFonts w:ascii="Times New Roman" w:cs="Times New Roman" w:eastAsia="Times New Roman" w:hAnsi="Times New Roman"/>
          <w:sz w:val="22"/>
          <w:szCs w:val="22"/>
          <w:color w:val="auto"/>
        </w:rPr>
        <w:t xml:space="preserve">”). Buyer may, from time to time, make adjustments to the Development Plan as Buyer believes, in its good faith judgment, are appropriate under the then-current circumstances consistent with its diligence obligations set forth in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Diligence Obligations</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Development Reports</w:t>
      </w:r>
      <w:r>
        <w:rPr>
          <w:rFonts w:ascii="Times New Roman" w:cs="Times New Roman" w:eastAsia="Times New Roman" w:hAnsi="Times New Roman"/>
          <w:sz w:val="22"/>
          <w:szCs w:val="22"/>
          <w:color w:val="auto"/>
        </w:rPr>
        <w:t>. From and after the Closing until the earlier or the First Commercial Sale of Product in the United States or the Diligence Expiration Date, within [**] following the end of each Calendar Year beginning with the [**], Buyer shall provide to Seller a reasonably detailed written summary that describes material development activities for the Product(s) conducted by or on behalf of the Buyer Parties since the last report. In addition, from and after Closing until [**], within [**] following the end of each Calendar Year beginning with the [**], Buyer shall provide to Seller an updated Development Plan. In addition, upon the reasonable written request by Seller, Buyer will provide Seller with further details related to the foregoing.</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Section 1.10</w:t>
      </w:r>
      <w:r>
        <w:rPr>
          <w:rFonts w:ascii="Times New Roman" w:cs="Times New Roman" w:eastAsia="Times New Roman" w:hAnsi="Times New Roman"/>
          <w:sz w:val="21"/>
          <w:szCs w:val="21"/>
          <w:u w:val="single" w:color="auto"/>
          <w:color w:val="auto"/>
        </w:rPr>
        <w:t>Milestone Event Disputes</w:t>
      </w:r>
      <w:r>
        <w:rPr>
          <w:rFonts w:ascii="Times New Roman" w:cs="Times New Roman" w:eastAsia="Times New Roman" w:hAnsi="Times New Roman"/>
          <w:sz w:val="21"/>
          <w:szCs w:val="21"/>
          <w:color w:val="auto"/>
        </w:rPr>
        <w:t>. Buyer shall keep, and shall cause the Buyer Parties to keep, adequate books and records of accounting for the purpose of confirming whether a Development and Regulatory Milestone Event has occurred for a period of [**] following the end of the Calendar Year to which each pertains. If the Seller believes that any Development and Regulatory Milestone Event has occurred and Buyer has not yet provided notice to Seller of the occurrence of such Development and Regulatory Milestone Event, then the Seller shall deliver to Buyer written notice thereof (a “</w:t>
      </w:r>
      <w:r>
        <w:rPr>
          <w:rFonts w:ascii="Times New Roman" w:cs="Times New Roman" w:eastAsia="Times New Roman" w:hAnsi="Times New Roman"/>
          <w:sz w:val="21"/>
          <w:szCs w:val="21"/>
          <w:b w:val="1"/>
          <w:bCs w:val="1"/>
          <w:color w:val="auto"/>
        </w:rPr>
        <w:t>Milestone Dispute Notice</w:t>
      </w:r>
      <w:r>
        <w:rPr>
          <w:rFonts w:ascii="Times New Roman" w:cs="Times New Roman" w:eastAsia="Times New Roman" w:hAnsi="Times New Roman"/>
          <w:sz w:val="21"/>
          <w:szCs w:val="21"/>
          <w:color w:val="auto"/>
        </w:rPr>
        <w:t xml:space="preserve">”), in reasonable detail, within [**] following the date upon which the Seller alleges the applicable Development and Regulatory Milestone Event occurred. Following the delivery of a Milestone Dispute Notice, Buyer and Seller shall first attempt in good faith to resolve by negotiation and consultation between themselves, any dispute as to whether any Development and Regulatory Milestone Event has occurred and whether any Development and Regulatory Milestone Payment is payable. If Buyer and Seller do not reach agreement with respect to any dispute relating to any such matter within [**] after a Milestone Dispute Notice is delivered to Buyer by Seller, then the Parties shall submit for arbitration all matters that remain in dispute to a disinterested individual who has appropriate scientific, technical and regulatory expertise (as relevant) to resolve any disputes referred to him or her under this </w:t>
      </w:r>
      <w:r>
        <w:rPr>
          <w:rFonts w:ascii="Times New Roman" w:cs="Times New Roman" w:eastAsia="Times New Roman" w:hAnsi="Times New Roman"/>
          <w:sz w:val="21"/>
          <w:szCs w:val="21"/>
          <w:u w:val="single" w:color="auto"/>
          <w:color w:val="auto"/>
        </w:rPr>
        <w:t>Section 1.10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Milestone Event Dispute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b w:val="1"/>
          <w:bCs w:val="1"/>
          <w:color w:val="auto"/>
        </w:rPr>
        <w:t>Scientific Expert</w:t>
      </w:r>
      <w:r>
        <w:rPr>
          <w:rFonts w:ascii="Times New Roman" w:cs="Times New Roman" w:eastAsia="Times New Roman" w:hAnsi="Times New Roman"/>
          <w:sz w:val="21"/>
          <w:szCs w:val="21"/>
          <w:color w:val="auto"/>
        </w:rPr>
        <w:t xml:space="preserve">”) who is mutually agreed to by Buyer and Seller;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Scientific Expert shall not be or have been at any time within the previous [**] an Affiliate, employee, consultant, officer or director of Buyer, Seller or any of their respective Affiliates. If Buyer and Seller cannot agree on a mutually acceptable Scientific Expert within [**] after either Party has determined that the Parties cannot reach agreement with respect to a dispute, then within [**] after the expiration of such [**] period, each</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2" w:name="page163"/>
    <w:bookmarkEnd w:id="162"/>
    <w:p>
      <w:pPr>
        <w:jc w:val="both"/>
        <w:spacing w:after="0" w:line="233" w:lineRule="auto"/>
        <w:rPr>
          <w:sz w:val="20"/>
          <w:szCs w:val="20"/>
          <w:color w:val="auto"/>
        </w:rPr>
      </w:pPr>
      <w:r>
        <w:rPr>
          <w:rFonts w:ascii="Times New Roman" w:cs="Times New Roman" w:eastAsia="Times New Roman" w:hAnsi="Times New Roman"/>
          <w:sz w:val="22"/>
          <w:szCs w:val="22"/>
          <w:color w:val="auto"/>
        </w:rPr>
        <w:t>of Buyer and Seller shall appoint one Scientific Expert who shall jointly select a third Scientific Expert within [**] after the last to occur of their respective appointments to arbitrate the referred matter. The Scientific Expert mutually agreed by the Parties or, if the Parties cannot agree, the third Scientific Expert selected by the Party-appointed Scientific Experts is referred to as the “</w:t>
      </w:r>
      <w:r>
        <w:rPr>
          <w:rFonts w:ascii="Times New Roman" w:cs="Times New Roman" w:eastAsia="Times New Roman" w:hAnsi="Times New Roman"/>
          <w:sz w:val="22"/>
          <w:szCs w:val="22"/>
          <w:b w:val="1"/>
          <w:bCs w:val="1"/>
          <w:color w:val="auto"/>
        </w:rPr>
        <w:t>Selected Scientific Expert.</w:t>
      </w:r>
      <w:r>
        <w:rPr>
          <w:rFonts w:ascii="Times New Roman" w:cs="Times New Roman" w:eastAsia="Times New Roman" w:hAnsi="Times New Roman"/>
          <w:sz w:val="22"/>
          <w:szCs w:val="22"/>
          <w:color w:val="auto"/>
        </w:rPr>
        <w:t>” Buyer and Seller shall instruct the Selected Scientific Expert to determine as promptly as practicable but in no event later than [**] after such person’s appointment (the “</w:t>
      </w:r>
      <w:r>
        <w:rPr>
          <w:rFonts w:ascii="Times New Roman" w:cs="Times New Roman" w:eastAsia="Times New Roman" w:hAnsi="Times New Roman"/>
          <w:sz w:val="22"/>
          <w:szCs w:val="22"/>
          <w:b w:val="1"/>
          <w:bCs w:val="1"/>
          <w:color w:val="auto"/>
        </w:rPr>
        <w:t>Determination Period</w:t>
      </w:r>
      <w:r>
        <w:rPr>
          <w:rFonts w:ascii="Times New Roman" w:cs="Times New Roman" w:eastAsia="Times New Roman" w:hAnsi="Times New Roman"/>
          <w:sz w:val="22"/>
          <w:szCs w:val="22"/>
          <w:color w:val="auto"/>
        </w:rPr>
        <w:t>”) whether the disputed Development and Regulatory Milestone Event or Commercial Milestone Event has occurred. The Selected Scientific Expert’s determination shall be made based on the submission of documents and evidence by the Parties (including any such documentation or evidence reasonably requested by the Selected Scientific Expert, which Seller or Buyer shall provide upon request) and, upon the Selected Scientific Expert’s request, by Third Parties, unless the Selected Scientific Expert determines that an oral hearing is necessary. The Selected Scientific Expert shall determine deadlines (which Buyer and Seller shall deem to be fair and appropriate) within the Determination Period for submitting documents and dates, if any, of oral hearings. The prevailing Party shall pay all of the expenses of arbitration, and the fees, costs and expenses of the Selected Scientific Expert.</w:t>
      </w:r>
    </w:p>
    <w:p>
      <w:pPr>
        <w:spacing w:after="0" w:line="18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Section 1.11</w:t>
      </w:r>
      <w:r>
        <w:rPr>
          <w:rFonts w:ascii="Times New Roman" w:cs="Times New Roman" w:eastAsia="Times New Roman" w:hAnsi="Times New Roman"/>
          <w:sz w:val="22"/>
          <w:szCs w:val="22"/>
          <w:u w:val="single" w:color="auto"/>
          <w:color w:val="auto"/>
        </w:rPr>
        <w:t>Currency</w:t>
      </w:r>
      <w:r>
        <w:rPr>
          <w:rFonts w:ascii="Times New Roman" w:cs="Times New Roman" w:eastAsia="Times New Roman" w:hAnsi="Times New Roman"/>
          <w:sz w:val="22"/>
          <w:szCs w:val="22"/>
          <w:color w:val="auto"/>
        </w:rPr>
        <w:t xml:space="preserve">. Except as otherwise expressly provided in this Agreement, all payments under or in connection with this Agreement (including this </w:t>
      </w:r>
      <w:r>
        <w:rPr>
          <w:rFonts w:ascii="Times New Roman" w:cs="Times New Roman" w:eastAsia="Times New Roman" w:hAnsi="Times New Roman"/>
          <w:sz w:val="22"/>
          <w:szCs w:val="22"/>
          <w:u w:val="single" w:color="auto"/>
          <w:color w:val="auto"/>
        </w:rPr>
        <w:t>Article 1</w:t>
      </w:r>
      <w:r>
        <w:rPr>
          <w:rFonts w:ascii="Times New Roman" w:cs="Times New Roman" w:eastAsia="Times New Roman" w:hAnsi="Times New Roman"/>
          <w:sz w:val="22"/>
          <w:szCs w:val="22"/>
          <w:color w:val="auto"/>
        </w:rPr>
        <w:t>) shall be in U.S. dollars.</w:t>
      </w:r>
    </w:p>
    <w:p>
      <w:pPr>
        <w:spacing w:after="0" w:line="15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Section 1.12</w:t>
      </w: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Buyer and any other applicable withholding agent shall be entitled to make all payments under this Agreement net of all deductions and withholdings in respect of Taxes required by Law. If any Taxes are required by Law in effect at the time of payment to be deducted from or in respect of any amount payable under this Agreement: (a) such amounts shall be deducted and withheld, and treated as paid to the person in respect of which such deduction or withholding was made, (b) Buyer shall make such deductions and timely pay the full amount deducted to the Governmental Authority in accordance with applicable Law and (c) Buyer shall use commercially reasonable efforts to provide any documentation or information reasonably requested by Seller to evidence such Tax payments. Notwithstanding the foregoing, other than withholding applied in respect of compensatory amounts or for failure to deliver an IRS Form W- 9, Buyer will provide written notice to Seller promptly upon any determination that withholding may be required on any payments under this Agreement and shall cooperate in good faith and use commercially reasonable efforts to take such steps as Seller may reasonably request to reduce or eliminate such deduction or withholding. Notwithstanding any provision to the contrary in this Agreement, the Parties acknowledge and agree that [**].</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1.13</w:t>
      </w:r>
      <w:r>
        <w:rPr>
          <w:rFonts w:ascii="Times New Roman" w:cs="Times New Roman" w:eastAsia="Times New Roman" w:hAnsi="Times New Roman"/>
          <w:sz w:val="22"/>
          <w:szCs w:val="22"/>
          <w:u w:val="single" w:color="auto"/>
          <w:color w:val="auto"/>
        </w:rPr>
        <w:t>Transfer Taxes and Other Costs</w:t>
      </w:r>
      <w:r>
        <w:rPr>
          <w:rFonts w:ascii="Times New Roman" w:cs="Times New Roman" w:eastAsia="Times New Roman" w:hAnsi="Times New Roman"/>
          <w:sz w:val="22"/>
          <w:szCs w:val="22"/>
          <w:color w:val="auto"/>
        </w:rPr>
        <w:t>. All Transfer Taxes payable under applicable Law on or in connection with the transfer of the Transferred Assets to Buyer, if any, shall be paid by Buyer and Buyer shall indemnify Seller against any liability for such Transfer Taxes. Buyer shall prepare and file all necessary Tax Returns and other documentation required to be filed by it with respect to all Transfer Taxes, and, if required by applicable Law, the Parties will, and will cause their Affiliates to, join in the execution of any such Tax Returns and other documentation.</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Section 1.14</w:t>
      </w:r>
      <w:r>
        <w:rPr>
          <w:rFonts w:ascii="Times New Roman" w:cs="Times New Roman" w:eastAsia="Times New Roman" w:hAnsi="Times New Roman"/>
          <w:sz w:val="22"/>
          <w:szCs w:val="22"/>
          <w:u w:val="single" w:color="auto"/>
          <w:color w:val="auto"/>
        </w:rPr>
        <w:t>Allocation of the Consideration</w:t>
      </w:r>
      <w:r>
        <w:rPr>
          <w:rFonts w:ascii="Times New Roman" w:cs="Times New Roman" w:eastAsia="Times New Roman" w:hAnsi="Times New Roman"/>
          <w:sz w:val="22"/>
          <w:szCs w:val="22"/>
          <w:color w:val="auto"/>
        </w:rPr>
        <w:t>. Within [**] after the Closing, Buyer shall prepare and finalize an allocation of the purchase price paid (for Tax purposes) among the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3" w:name="page164"/>
    <w:bookmarkEnd w:id="163"/>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Transferred Assets in accordance with Tax Law (including Section 1060 of the Code), the principles of </w:t>
      </w:r>
      <w:r>
        <w:rPr>
          <w:rFonts w:ascii="Times New Roman" w:cs="Times New Roman" w:eastAsia="Times New Roman" w:hAnsi="Times New Roman"/>
          <w:sz w:val="22"/>
          <w:szCs w:val="22"/>
          <w:u w:val="single" w:color="auto"/>
          <w:color w:val="auto"/>
        </w:rPr>
        <w:t>Schedule 1.14</w:t>
      </w:r>
      <w:r>
        <w:rPr>
          <w:rFonts w:ascii="Times New Roman" w:cs="Times New Roman" w:eastAsia="Times New Roman" w:hAnsi="Times New Roman"/>
          <w:sz w:val="22"/>
          <w:szCs w:val="22"/>
          <w:color w:val="auto"/>
        </w:rPr>
        <w:t xml:space="preserve">, and in accordance with the remainder of this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Allocation of the Consideration</w:t>
      </w:r>
      <w:r>
        <w:rPr>
          <w:rFonts w:ascii="Times New Roman" w:cs="Times New Roman" w:eastAsia="Times New Roman" w:hAnsi="Times New Roman"/>
          <w:sz w:val="22"/>
          <w:szCs w:val="22"/>
          <w:color w:val="auto"/>
        </w:rPr>
        <w:t xml:space="preserve">). Promptly following the Closing, Buyer shall deliver a proposed allocation of the purchase price in accordance with this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Allocation of the Consideration</w:t>
      </w:r>
      <w:r>
        <w:rPr>
          <w:rFonts w:ascii="Times New Roman" w:cs="Times New Roman" w:eastAsia="Times New Roman" w:hAnsi="Times New Roman"/>
          <w:sz w:val="22"/>
          <w:szCs w:val="22"/>
          <w:color w:val="auto"/>
        </w:rPr>
        <w:t xml:space="preserve">) to Seller for Seller’s review and comment, and Buyer shall consider any comments received from Seller in good faith. Seller shall provide Buyer with such evidence as Buyer may reasonably request to support the proposed allocation. The purchase price allocation, as finalized pursuant to the terms of this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Allocation of the Consideration</w:t>
      </w:r>
      <w:r>
        <w:rPr>
          <w:rFonts w:ascii="Times New Roman" w:cs="Times New Roman" w:eastAsia="Times New Roman" w:hAnsi="Times New Roman"/>
          <w:sz w:val="22"/>
          <w:szCs w:val="22"/>
          <w:color w:val="auto"/>
        </w:rPr>
        <w:t xml:space="preserve">), shall be binding on the Parties, and the Parties shall (and shall cause their Affiliates to) file all Tax Returns and take all Tax positions in a manner consistent with the final purchase price allocation, unless otherwise required by a final determination within the meaning of Section 1313(a) of the Code or in connection with a good faith resolution of a Tax audit. Any adjustments to the purchase price (for Tax purposes) shall be allocated in accordance with the procedures and principles of this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Allocation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Consideration</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SELLER</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Except as set forth in the applicable section identified in the Seller Disclosure Letter, Seller represents and warrants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Buyer as follows:</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2.1</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Each of Seller and the Selling Affiliates is duly organized, validly existing and in good standing (to the extent such concept is recognized in the relevant jurisdiction) under the Laws of its respective jurisdiction of formation, and has full corporate or other applicable legal power and authority to enter into the transactions contemplated by this Agreement.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2.2</w:t>
      </w:r>
      <w:r>
        <w:rPr>
          <w:rFonts w:ascii="Times New Roman" w:cs="Times New Roman" w:eastAsia="Times New Roman" w:hAnsi="Times New Roman"/>
          <w:sz w:val="22"/>
          <w:szCs w:val="22"/>
          <w:u w:val="single" w:color="auto"/>
          <w:color w:val="auto"/>
        </w:rPr>
        <w:t>Corporate and Governmental Authorization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8" w:lineRule="auto"/>
        <w:tabs>
          <w:tab w:leader="none" w:pos="203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full corporate power and authority to enter into this Agreement and each of the Selling Affiliates have, or will have at Closing, full corporate or other applicable legal power and authority to enter into the Ancillary Agreements to which it is to be a party and to perform its obligations hereunder and thereunder (as the case may be). This Agreement has been, and the Ancillary Agreements to which the Selling Affiliates are to be a party will be by Closing, duly authorized and approved by all necessary corporate action.</w:t>
      </w:r>
    </w:p>
    <w:p>
      <w:pPr>
        <w:spacing w:after="0" w:line="17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duly executed and delivered this Agreement and on the Closing Date will have duly executed and delivered the Ancillary Agreements.</w:t>
      </w:r>
    </w:p>
    <w:p>
      <w:pPr>
        <w:spacing w:after="0" w:line="158" w:lineRule="exact"/>
        <w:rPr>
          <w:rFonts w:ascii="Times New Roman" w:cs="Times New Roman" w:eastAsia="Times New Roman" w:hAnsi="Times New Roman"/>
          <w:sz w:val="22"/>
          <w:szCs w:val="22"/>
          <w:color w:val="auto"/>
        </w:rPr>
      </w:pPr>
    </w:p>
    <w:p>
      <w:pPr>
        <w:jc w:val="both"/>
        <w:ind w:firstLine="1505"/>
        <w:spacing w:after="0" w:line="251" w:lineRule="auto"/>
        <w:tabs>
          <w:tab w:leader="none" w:pos="2036"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transactions contemplated under this Agreement do not constitute a sale of all or substantially all of Seller’s assets. Except as set forth on Section 2.2(c) of the Seller Disclosure Letter, no consent, approval, order or authorization of, action by or in respect of, or registration, declaration or filing with, any Governmental Authority is required by or with respect to Seller, the Business, or the Transferred Assets for, or in connection with, (i) the execution and delivery of this Agreement by Seller, (ii) the transfer of the Transferred Assets to Buyer or (iii) the consummation of transactions contemplated hereunder.</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4" w:name="page165"/>
    <w:bookmarkEnd w:id="164"/>
    <w:p>
      <w:pPr>
        <w:jc w:val="both"/>
        <w:ind w:firstLine="1505"/>
        <w:spacing w:after="0" w:line="235" w:lineRule="auto"/>
        <w:tabs>
          <w:tab w:leader="none" w:pos="203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Assuming the due authorization, execution and delivery of this Agreement by Buyer, this Agreement constitutes a legal, valid and binding obligation of Seller, enforceable against Seller in accordance with its terms, except as enforcement may be limited by bankruptcy, insolvency, reorganization, moratorium or similar Laws affecting creditors’ rights generally and by general equity principles. Assuming the due authorization, execution and delivery of the Ancillary Agreements by Buyer, each Ancillary Agreement to be executed by any Selling Affiliate, when delivered hereunder, will be duly and validly executed and delivered, and will constitute a legal, valid and binding obligation of such Selling Affiliate, enforceable in accordance with its terms, except as enforcement may be limited by bankruptcy, insolvency, reorganization, moratorium or similar Laws affecting creditors’ rights generally and by general equity principles.</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2.3</w:t>
      </w:r>
      <w:r>
        <w:rPr>
          <w:rFonts w:ascii="Times New Roman" w:cs="Times New Roman" w:eastAsia="Times New Roman" w:hAnsi="Times New Roman"/>
          <w:sz w:val="22"/>
          <w:szCs w:val="22"/>
          <w:u w:val="single" w:color="auto"/>
          <w:color w:val="auto"/>
        </w:rPr>
        <w:t>Non-Contravention</w:t>
      </w:r>
      <w:r>
        <w:rPr>
          <w:rFonts w:ascii="Times New Roman" w:cs="Times New Roman" w:eastAsia="Times New Roman" w:hAnsi="Times New Roman"/>
          <w:sz w:val="22"/>
          <w:szCs w:val="22"/>
          <w:color w:val="auto"/>
        </w:rPr>
        <w:t>. The execution and delivery of this Agreement by Seller, the execution and delivery of the Ancillary Agreements by any Selling Affiliate thereto and the consummation of the transactions contemplated hereby or thereby, do not and will not</w:t>
      </w:r>
    </w:p>
    <w:p>
      <w:pPr>
        <w:spacing w:after="0" w:line="173" w:lineRule="exact"/>
        <w:rPr>
          <w:sz w:val="20"/>
          <w:szCs w:val="20"/>
          <w:color w:val="auto"/>
        </w:rPr>
      </w:pPr>
    </w:p>
    <w:p>
      <w:pPr>
        <w:jc w:val="both"/>
        <w:ind w:firstLine="1505"/>
        <w:spacing w:after="0" w:line="235" w:lineRule="auto"/>
        <w:tabs>
          <w:tab w:leader="none" w:pos="203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violate in any material respect any provision of the Organizational Documents of Seller or any Selling Affiliate, (b) conflict with, result in the breach of, constitute a default under or result in the termination, cancellation or acceleration (whether after the giving of notice or the lapse of time or both) of any right or obligation of Seller or any Selling Affiliate under any Transferred Contract to which it is a party or to which its assets are subject, or result in the creation or the imposition of any Lien (other than a Permitted Lien) upon any of the Transferred Assets, or (c) violate, in any material respect, any Law of any Governmental Authority applicable to Seller or any Selling Affiliate, or any of the Transferred Assets or any Order against Seller or any Selling Affiliate or the Transferred Assets. Section 2.3 of the Seller Disclosure Letter sets forth a list of all Transferred Contracts that require a Transfer Approval to be assigned to Buyer.</w:t>
      </w:r>
    </w:p>
    <w:p>
      <w:pPr>
        <w:spacing w:after="0" w:line="17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Section 2.4</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As of the date hereof and as of immediately after giving effect to the consummation of the transactions contemplated by this Agreement, Seller and its Affiliates will be Solvent.</w:t>
      </w:r>
    </w:p>
    <w:p>
      <w:pPr>
        <w:spacing w:after="0" w:line="15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Section 2.5</w:t>
      </w:r>
      <w:r>
        <w:rPr>
          <w:rFonts w:ascii="Times New Roman" w:cs="Times New Roman" w:eastAsia="Times New Roman" w:hAnsi="Times New Roman"/>
          <w:sz w:val="22"/>
          <w:szCs w:val="22"/>
          <w:u w:val="single" w:color="auto"/>
          <w:color w:val="auto"/>
        </w:rPr>
        <w:t>Absence of Material Adverse Effect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Since December 31, 2024, there have not been any changes, effects, events, occurrences, states or facts or developments that, individually or in the aggregate, have resulted or would be reasonably likely to result in a Material Adverse Effect. Without limiting the generality of the foregoing, since December 31, 2024, the Seller and any of the Selling Affiliates have not, with respect to the Business:</w:t>
      </w:r>
    </w:p>
    <w:p>
      <w:pPr>
        <w:spacing w:after="0" w:line="176" w:lineRule="exact"/>
        <w:rPr>
          <w:sz w:val="20"/>
          <w:szCs w:val="20"/>
          <w:color w:val="auto"/>
        </w:rPr>
      </w:pPr>
    </w:p>
    <w:p>
      <w:pPr>
        <w:jc w:val="both"/>
        <w:ind w:firstLine="1505"/>
        <w:spacing w:after="0" w:line="244" w:lineRule="auto"/>
        <w:tabs>
          <w:tab w:leader="none" w:pos="203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sold, assigned, pledged, hypothecated or otherwise transferred any assets, properties or rights related to the Product, except those which, when taken together with all assets, properties or rights disposed of, are immaterial to the Business taken as a whole;</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suffered any material damage, destruction or other casualty loss (whether or not covered by insurance);</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changed in any material way the manner in which accounts receivable related to the Product have been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collected;</w:t>
      </w:r>
    </w:p>
    <w:p>
      <w:pPr>
        <w:spacing w:after="0" w:line="182"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materially and adversely modified or changed its relationship with its suppliers or customers; 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5" w:name="page166"/>
    <w:bookmarkEnd w:id="165"/>
    <w:p>
      <w:pPr>
        <w:ind w:left="760" w:right="4600" w:firstLine="745"/>
        <w:spacing w:after="0" w:line="435" w:lineRule="auto"/>
        <w:tabs>
          <w:tab w:leader="none" w:pos="20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entered into an agreement to do any of the foregoing. Section 2.6</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1505"/>
        <w:spacing w:after="0" w:line="238" w:lineRule="auto"/>
        <w:tabs>
          <w:tab w:leader="none" w:pos="203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Contracts disclosed in the applicable subsection of Section 2.6 of the Seller Disclosure Letter (which is arranged in subsections to correspond to the subsections of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and Contracts with employees, consultants, or advisors, as of the date hereof, there are no Contracts relating (whether solely or in part) to the operation and conduct of the Business, the development, manufacture, commercialization, or other exploitation of any Acquired Molecule or Acquired Product, or any of the Transferred Assets that constitute:</w:t>
      </w:r>
    </w:p>
    <w:p>
      <w:pPr>
        <w:spacing w:after="0" w:line="176" w:lineRule="exact"/>
        <w:rPr>
          <w:rFonts w:ascii="Times New Roman" w:cs="Times New Roman" w:eastAsia="Times New Roman" w:hAnsi="Times New Roman"/>
          <w:sz w:val="22"/>
          <w:szCs w:val="22"/>
          <w:color w:val="auto"/>
        </w:rPr>
      </w:pPr>
    </w:p>
    <w:p>
      <w:pPr>
        <w:ind w:left="760" w:firstLine="1494"/>
        <w:spacing w:after="0" w:line="258" w:lineRule="auto"/>
        <w:tabs>
          <w:tab w:leader="none" w:pos="2557"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joint venture, partnership, limited liability company or other similar agreements or arrangements (providing for joint research, development or marketing of any of the Products);</w:t>
      </w:r>
    </w:p>
    <w:p>
      <w:pPr>
        <w:spacing w:after="0" w:line="158"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557"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agreement or series of related agreements, including any option agreement, relating to the acquisition or disposition of any business or assets of any other Person or any material real property (whether by merger, sale of stock, sale of assets or otherwise related to the Business);</w:t>
      </w:r>
    </w:p>
    <w:p>
      <w:pPr>
        <w:spacing w:after="0" w:line="173" w:lineRule="exact"/>
        <w:rPr>
          <w:sz w:val="20"/>
          <w:szCs w:val="20"/>
          <w:color w:val="auto"/>
        </w:rPr>
      </w:pPr>
    </w:p>
    <w:p>
      <w:pPr>
        <w:jc w:val="both"/>
        <w:ind w:left="760" w:firstLine="1497"/>
        <w:spacing w:after="0" w:line="248" w:lineRule="auto"/>
        <w:rPr>
          <w:sz w:val="20"/>
          <w:szCs w:val="20"/>
          <w:color w:val="auto"/>
        </w:rPr>
      </w:pPr>
      <w:r>
        <w:rPr>
          <w:rFonts w:ascii="Times New Roman" w:cs="Times New Roman" w:eastAsia="Times New Roman" w:hAnsi="Times New Roman"/>
          <w:sz w:val="21"/>
          <w:szCs w:val="21"/>
          <w:color w:val="auto"/>
        </w:rPr>
        <w:t>(iii)any agreement that (A) materially limits the freedom of Seller or its Affiliates to operate the Business or with any Person or in any area or that would so limit the freedom of Buyer or its Affiliates after the Closing (other than customary exclusive distribution agreements for the Products), (B) contains material exclusivity obligations or restrictions binding on Seller or the Selling Affiliates or that would be binding on Buyer or any of its Affiliates after the Closing, (C) contains any right of first refusal, right of first negotiation or right of first offer in favor of a party other than Sellers; or (D) otherwise restricts the research, development, manufacture, marketing, distribution, sale, supply, license or marketing of the products and services of Seller or that either Seller or any Selling Affiliate develops;</w:t>
      </w:r>
    </w:p>
    <w:p>
      <w:pPr>
        <w:spacing w:after="0" w:line="170" w:lineRule="exact"/>
        <w:rPr>
          <w:sz w:val="20"/>
          <w:szCs w:val="20"/>
          <w:color w:val="auto"/>
        </w:rPr>
      </w:pPr>
    </w:p>
    <w:p>
      <w:pPr>
        <w:jc w:val="both"/>
        <w:ind w:left="760" w:firstLine="1497"/>
        <w:spacing w:after="0" w:line="244" w:lineRule="auto"/>
        <w:rPr>
          <w:sz w:val="20"/>
          <w:szCs w:val="20"/>
          <w:color w:val="auto"/>
        </w:rPr>
      </w:pPr>
      <w:r>
        <w:rPr>
          <w:rFonts w:ascii="Times New Roman" w:cs="Times New Roman" w:eastAsia="Times New Roman" w:hAnsi="Times New Roman"/>
          <w:sz w:val="22"/>
          <w:szCs w:val="22"/>
          <w:color w:val="auto"/>
        </w:rPr>
        <w:t>(iv)any agreement or series of related agreements for the purchase of materials, supplies, goods, services, equipment or other assets related to the Business that is reasonably expected to involve annual payments on the part of Seller or the Selling Affiliates in excess of $[**] from and after the Closing;</w:t>
      </w:r>
    </w:p>
    <w:p>
      <w:pPr>
        <w:spacing w:after="0" w:line="173" w:lineRule="exact"/>
        <w:rPr>
          <w:sz w:val="20"/>
          <w:szCs w:val="20"/>
          <w:color w:val="auto"/>
        </w:rPr>
      </w:pPr>
    </w:p>
    <w:p>
      <w:pPr>
        <w:jc w:val="both"/>
        <w:ind w:left="760" w:firstLine="1494"/>
        <w:spacing w:after="0" w:line="239" w:lineRule="auto"/>
        <w:tabs>
          <w:tab w:leader="none" w:pos="2557"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sales, distribution, agency or other similar agreement providing for the sale by the Business of Products, materials, supplies, goods, services, equipment or other assets that is reasonably expected to involve annual payments to Seller or the Selling Affiliates from and after the Closing over the remaining term of the agreement of $[**];</w:t>
      </w:r>
    </w:p>
    <w:p>
      <w:pPr>
        <w:spacing w:after="0" w:line="180" w:lineRule="exact"/>
        <w:rPr>
          <w:sz w:val="20"/>
          <w:szCs w:val="20"/>
          <w:color w:val="auto"/>
        </w:rPr>
      </w:pPr>
    </w:p>
    <w:p>
      <w:pPr>
        <w:jc w:val="both"/>
        <w:ind w:left="760" w:firstLine="1497"/>
        <w:spacing w:after="0" w:line="239" w:lineRule="auto"/>
        <w:rPr>
          <w:sz w:val="20"/>
          <w:szCs w:val="20"/>
          <w:color w:val="auto"/>
        </w:rPr>
      </w:pPr>
      <w:r>
        <w:rPr>
          <w:rFonts w:ascii="Times New Roman" w:cs="Times New Roman" w:eastAsia="Times New Roman" w:hAnsi="Times New Roman"/>
          <w:sz w:val="22"/>
          <w:szCs w:val="22"/>
          <w:color w:val="auto"/>
        </w:rPr>
        <w:t>(vi)any agreement under which the Business has (A) granted a Lien on any material Transferred Asset, other than a Lien that will be released as of the Closing or (B) provided for the sale of any material Transferred Asset, or granted any preferential rights to purchase any material Transferred Asset, in each case outside the ordinary course of business;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6" w:name="page167"/>
    <w:bookmarkEnd w:id="166"/>
    <w:p>
      <w:pPr>
        <w:jc w:val="both"/>
        <w:ind w:left="760" w:firstLine="1497"/>
        <w:spacing w:after="0" w:line="244" w:lineRule="auto"/>
        <w:rPr>
          <w:sz w:val="20"/>
          <w:szCs w:val="20"/>
          <w:color w:val="auto"/>
        </w:rPr>
      </w:pPr>
      <w:r>
        <w:rPr>
          <w:rFonts w:ascii="Times New Roman" w:cs="Times New Roman" w:eastAsia="Times New Roman" w:hAnsi="Times New Roman"/>
          <w:sz w:val="22"/>
          <w:szCs w:val="22"/>
          <w:color w:val="auto"/>
        </w:rPr>
        <w:t>(vii)any agreement providing any person or entity with pricing, discounts, or benefits that change based on the pricing, discounts, or benefits offered to other Third Parties, including any agreement containing “most favored nation”;</w:t>
      </w:r>
    </w:p>
    <w:p>
      <w:pPr>
        <w:spacing w:after="0" w:line="173" w:lineRule="exact"/>
        <w:rPr>
          <w:sz w:val="20"/>
          <w:szCs w:val="20"/>
          <w:color w:val="auto"/>
        </w:rPr>
      </w:pPr>
    </w:p>
    <w:p>
      <w:pPr>
        <w:jc w:val="both"/>
        <w:ind w:left="760" w:firstLine="1497"/>
        <w:spacing w:after="0" w:line="258" w:lineRule="auto"/>
        <w:rPr>
          <w:sz w:val="20"/>
          <w:szCs w:val="20"/>
          <w:color w:val="auto"/>
        </w:rPr>
      </w:pPr>
      <w:r>
        <w:rPr>
          <w:rFonts w:ascii="Times New Roman" w:cs="Times New Roman" w:eastAsia="Times New Roman" w:hAnsi="Times New Roman"/>
          <w:sz w:val="22"/>
          <w:szCs w:val="22"/>
          <w:color w:val="auto"/>
        </w:rPr>
        <w:t>(viii)any agreement in which either Seller has agreed to purchase a minimum quantity of goods or services or has agreed to purchase goods or services exclusively from a certain party;</w:t>
      </w:r>
    </w:p>
    <w:p>
      <w:pPr>
        <w:spacing w:after="0" w:line="158" w:lineRule="exact"/>
        <w:rPr>
          <w:sz w:val="20"/>
          <w:szCs w:val="20"/>
          <w:color w:val="auto"/>
        </w:rPr>
      </w:pPr>
    </w:p>
    <w:p>
      <w:pPr>
        <w:jc w:val="both"/>
        <w:ind w:left="760" w:right="20" w:firstLine="1497"/>
        <w:spacing w:after="0" w:line="258" w:lineRule="auto"/>
        <w:rPr>
          <w:sz w:val="20"/>
          <w:szCs w:val="20"/>
          <w:color w:val="auto"/>
        </w:rPr>
      </w:pPr>
      <w:r>
        <w:rPr>
          <w:rFonts w:ascii="Times New Roman" w:cs="Times New Roman" w:eastAsia="Times New Roman" w:hAnsi="Times New Roman"/>
          <w:sz w:val="22"/>
          <w:szCs w:val="22"/>
          <w:color w:val="auto"/>
        </w:rPr>
        <w:t>(ix)any agreement providing for any royalty, milestone, or similar payments by the Seller or any Selling Affiliates; and</w:t>
      </w:r>
    </w:p>
    <w:p>
      <w:pPr>
        <w:spacing w:after="0" w:line="158" w:lineRule="exact"/>
        <w:rPr>
          <w:sz w:val="20"/>
          <w:szCs w:val="20"/>
          <w:color w:val="auto"/>
        </w:rPr>
      </w:pPr>
    </w:p>
    <w:p>
      <w:pPr>
        <w:ind w:left="2560" w:hanging="306"/>
        <w:spacing w:after="0"/>
        <w:tabs>
          <w:tab w:leader="none" w:pos="256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agreement between either Seller and a governmental authority.</w:t>
      </w:r>
    </w:p>
    <w:p>
      <w:pPr>
        <w:spacing w:after="0" w:line="206"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2.6(b) of the Seller Disclosure Letter sets forth a true and complete list of all Contracts relating solely to the operation and conduct of the Business, to the development, manufacture, commercialization, or other exploitation of any Acquired Molecule or Acquired Product, or to any of the Transferred Assets, in each case, as currently conducted. For the avoidance of doubt, such list does not include any Excluded Asset listed in clauses (i) through (xv) of Annex 9.1(b) attached hereto, any Shared Contract, or any Contracts with employees, consultants, or advisors, even if related to the operation and conduct of the Business as currently conducted, and includes Contracts that are no longer in effect.</w:t>
      </w:r>
    </w:p>
    <w:p>
      <w:pPr>
        <w:spacing w:after="0" w:line="18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9.1(b)(vi) of the Seller Disclosure Letter sets forth a true and complete list of all Shared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w:t>
      </w:r>
    </w:p>
    <w:p>
      <w:pPr>
        <w:spacing w:after="0" w:line="182"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has made available to Buyer true, correct, and complete copies of each of the Transferred Contracts</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 Shared Contracts.</w:t>
      </w:r>
    </w:p>
    <w:p>
      <w:pPr>
        <w:spacing w:after="0" w:line="182" w:lineRule="exact"/>
        <w:rPr>
          <w:rFonts w:ascii="Times New Roman" w:cs="Times New Roman" w:eastAsia="Times New Roman" w:hAnsi="Times New Roman"/>
          <w:sz w:val="21"/>
          <w:szCs w:val="21"/>
          <w:color w:val="auto"/>
        </w:rPr>
      </w:pPr>
    </w:p>
    <w:p>
      <w:pPr>
        <w:jc w:val="both"/>
        <w:ind w:firstLine="1505"/>
        <w:spacing w:after="0" w:line="233" w:lineRule="auto"/>
        <w:tabs>
          <w:tab w:leader="none" w:pos="203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agreement, commitment, arrangement or plan disclosed in the Seller Disclosure Letter pursuant to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Material Contracts</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Intellectual Property</w:t>
      </w:r>
      <w:r>
        <w:rPr>
          <w:rFonts w:ascii="Times New Roman" w:cs="Times New Roman" w:eastAsia="Times New Roman" w:hAnsi="Times New Roman"/>
          <w:sz w:val="22"/>
          <w:szCs w:val="22"/>
          <w:color w:val="auto"/>
        </w:rPr>
        <w:t>) (each, a “</w:t>
      </w:r>
      <w:r>
        <w:rPr>
          <w:rFonts w:ascii="Times New Roman" w:cs="Times New Roman" w:eastAsia="Times New Roman" w:hAnsi="Times New Roman"/>
          <w:sz w:val="22"/>
          <w:szCs w:val="22"/>
          <w:b w:val="1"/>
          <w:bCs w:val="1"/>
          <w:color w:val="auto"/>
        </w:rPr>
        <w:t>Material Contract</w:t>
      </w:r>
      <w:r>
        <w:rPr>
          <w:rFonts w:ascii="Times New Roman" w:cs="Times New Roman" w:eastAsia="Times New Roman" w:hAnsi="Times New Roman"/>
          <w:sz w:val="22"/>
          <w:szCs w:val="22"/>
          <w:color w:val="auto"/>
        </w:rPr>
        <w:t>”) is a valid and binding agreement of Seller or the Selling Affiliate thereto (subject to the effects of applicable bankruptcy, insolvency, fraudulent conveyance, or other Laws relating to or affecting creditors’ rights generally and to general principles of equity, whether considered at law or in equity) and is in full force and effect, and neither Seller nor any of the Selling Affiliates or, to the Knowledge of Seller, any other party thereto is in default or breach in any material respect under (or is alleged to be in default or breach in any material respect under) the terms of, or has provided or received any notice of any intention to terminate, any such Material Contract, and, to the Knowledge of Seller, no event or circumstance has occurred since December 31, 2024 that, with notice or lapse of time or both, would constitute an event of default thereunder or result in a termination thereof or would cause or permit the acceleration of or other changes of or to any right or obligation or the loss of any benefit thereunder that has not been cured or waived.</w:t>
      </w:r>
    </w:p>
    <w:p>
      <w:pPr>
        <w:spacing w:after="0" w:line="18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2.7</w:t>
      </w:r>
      <w:r>
        <w:rPr>
          <w:rFonts w:ascii="Times New Roman" w:cs="Times New Roman" w:eastAsia="Times New Roman" w:hAnsi="Times New Roman"/>
          <w:sz w:val="22"/>
          <w:szCs w:val="22"/>
          <w:u w:val="single" w:color="auto"/>
          <w:color w:val="auto"/>
        </w:rPr>
        <w:t>Title to Transferred Assets</w:t>
      </w:r>
      <w:r>
        <w:rPr>
          <w:rFonts w:ascii="Times New Roman" w:cs="Times New Roman" w:eastAsia="Times New Roman" w:hAnsi="Times New Roman"/>
          <w:sz w:val="22"/>
          <w:szCs w:val="22"/>
          <w:color w:val="auto"/>
        </w:rPr>
        <w:t>. Seller or the Selling Affiliate has exclusive, good, marketable, title to all the Transferred Assets, and has the complete and unrestricted power and unqualified right to sell, assign, transfer and deliver to Buyer the Transferred Assets. There are no adverse claims of ownership to the Transferred Assets and neither Seller has received notice that any person or entity has asserted a claim of ownership or right of possession or use in or to</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7" w:name="page168"/>
    <w:bookmarkEnd w:id="167"/>
    <w:p>
      <w:pPr>
        <w:jc w:val="both"/>
        <w:spacing w:after="0" w:line="244" w:lineRule="auto"/>
        <w:rPr>
          <w:sz w:val="20"/>
          <w:szCs w:val="20"/>
          <w:color w:val="auto"/>
        </w:rPr>
      </w:pPr>
      <w:r>
        <w:rPr>
          <w:rFonts w:ascii="Times New Roman" w:cs="Times New Roman" w:eastAsia="Times New Roman" w:hAnsi="Times New Roman"/>
          <w:sz w:val="22"/>
          <w:szCs w:val="22"/>
          <w:color w:val="auto"/>
        </w:rPr>
        <w:t>any of the Transferred Assets, nor are there any facts, circumstances or conditions on which, to the Knowledge of the Seller, such a claim could be brought in the future. At the Closing, Buyer will acquire from Seller sole and exclusive, good and marketable title to all of the Transferred Assets free and clear of all Liens (other than a Permitted Lien).</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Section 2.8</w:t>
      </w:r>
      <w:r>
        <w:rPr>
          <w:rFonts w:ascii="Times New Roman" w:cs="Times New Roman" w:eastAsia="Times New Roman" w:hAnsi="Times New Roman"/>
          <w:sz w:val="22"/>
          <w:szCs w:val="22"/>
          <w:u w:val="single" w:color="auto"/>
          <w:color w:val="auto"/>
        </w:rPr>
        <w:t>Completeness of Transferred Assets</w:t>
      </w:r>
      <w:r>
        <w:rPr>
          <w:rFonts w:ascii="Times New Roman" w:cs="Times New Roman" w:eastAsia="Times New Roman" w:hAnsi="Times New Roman"/>
          <w:sz w:val="22"/>
          <w:szCs w:val="22"/>
          <w:color w:val="auto"/>
        </w:rPr>
        <w:t>. Except for the Excluded Assets described on Annex 9.1(b) clause (i) through clause (xv) the Transferred Assets, together with any Unassigned Rights, the rights pursuant to the Ancillary Agreements, and Contracts with employees, consultants, or advisors, include all of the assets and rights in the possession and control of Seller or its Affiliates that are related to the Business or are used or held for use by Seller or the Selling Affiliates as of the Closing Date in connection with the operation or conduct of the Business, including the development, manufacture, or commercialization of Acquired Molecules and Acquired Products.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2.9</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5" w:lineRule="auto"/>
        <w:tabs>
          <w:tab w:leader="none" w:pos="203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9.1(a)(viii) of the Seller Disclosure Letter sets forth, as of the date hereof, a complete and accurate list of all Transferred Patent Rights, including the patent application or patent number, filing date, expiration date, country or territory, applicant and owner of record in respect of each such item of Transferred Patent Right, other than the Excluded Assets. No Person, including any Governmental Authority is making a written adverse claim of ownership or inventorship to the Transferred Patent Rights or is challenging the right, title or interest of Seller or any Selling Affiliate in, to or under any Transferred Patent Rights, or the validity or enforceability of any Transferred Patent Rights. The Transferred Patent Rights are not subject to any outstanding order of, judgment of, decree of or agreement with any Governmental Authority adversely affecting the use thereof by Seller or the Selling Affiliates or their rights thereto.</w:t>
      </w:r>
    </w:p>
    <w:p>
      <w:pPr>
        <w:spacing w:after="0" w:line="178"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or a Selling Affiliate owns or has the right to use each item of Transferred IP free and clear of Liens. Immediately following the Closing, Buyer shall have the same rights, interest, and title in and to each item of the Transferred IP as held by Seller or the Selling Affiliates immediately prior to the Closing without the payment of any additional amounts or consideration other than fees, royalties or payments which Seller or the Selling Affiliates would otherwise have been required to pay had the transactions contemplated herein not occurred.</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Transferred IP includes all of the IP Rights owned or controlled by Seller or its Affiliates used or held for use as of the Closing Date in the Business or the development, manufacture, or commercialization of Acquired Molecules and Acquired Products.</w:t>
      </w:r>
    </w:p>
    <w:p>
      <w:pPr>
        <w:spacing w:after="0" w:line="173"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the Selling Affiliates have taken commercially reasonable measures to protect and maintain the Transferred Know-How that constitutes trade secrets and other material confidential information included in the transferred Assets. To the Knowledge of Seller, (i) all current and former officers and employees of, and consultants, advisors and independent contractors to, Seller and the Selling Affiliates who have contributed to the creation, development or invention of any Transferred IP, while employed or engaged by the Seller or a Selling Affiliate, as applicable, have executed and delivered to Seller or a Selling Affiliate a valid and enforceable agreement regarding the protection of proprietary information and the present assignment to Seller or a Selling Affiliate, as applicable, of any Transferred IP arising from</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8" w:name="page169"/>
    <w:bookmarkEnd w:id="168"/>
    <w:p>
      <w:pPr>
        <w:jc w:val="both"/>
        <w:spacing w:after="0" w:line="236" w:lineRule="auto"/>
        <w:rPr>
          <w:sz w:val="20"/>
          <w:szCs w:val="20"/>
          <w:color w:val="auto"/>
        </w:rPr>
      </w:pPr>
      <w:r>
        <w:rPr>
          <w:rFonts w:ascii="Times New Roman" w:cs="Times New Roman" w:eastAsia="Times New Roman" w:hAnsi="Times New Roman"/>
          <w:sz w:val="22"/>
          <w:szCs w:val="22"/>
          <w:color w:val="auto"/>
        </w:rPr>
        <w:t>services performed for Seller or a Selling Affiliate, by such persons, and (ii) no such officer, employee, consultant, advisor or independent contractors of Seller or any Selling Affiliate is in violation of any term of such agreement. No current or former officer, employee, consultant, advisor or independent contractors of Seller or any Selling Affiliate has made or threatened to make any claim or challenge against the Seller or any of its Affiliates in connection with his or her contribution to the creation, development or invention of any Transferred IP, and no circumstances exist which would reasonably be expected to lead to any such claim or challenge.</w:t>
      </w:r>
    </w:p>
    <w:p>
      <w:pPr>
        <w:spacing w:after="0" w:line="181" w:lineRule="exact"/>
        <w:rPr>
          <w:sz w:val="20"/>
          <w:szCs w:val="20"/>
          <w:color w:val="auto"/>
        </w:rPr>
      </w:pPr>
    </w:p>
    <w:p>
      <w:pPr>
        <w:jc w:val="both"/>
        <w:ind w:firstLine="1505"/>
        <w:spacing w:after="0" w:line="244" w:lineRule="auto"/>
        <w:tabs>
          <w:tab w:leader="none" w:pos="203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There are no adverse Third Party actions or claims or any written allegations to the effect that the operation or conduct of the Business constitutes an infringement or violation of the Patent Rights or Know-How of any third Person.</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Seller, no Third Party has infringed, diluted, misappropriated or otherwise violated or is or are infringing upon, diluting, misappropriating or otherwise violating the Transferred IP.</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Transferred IP is the subject of any written objection or claim received by Seller or any Selling Affiliate or published with respect to its ownership, validity, or enforceability thereof, and, to the Knowledge of Seller, there does not exist any valid basis for such an objection or claim.</w:t>
      </w:r>
    </w:p>
    <w:p>
      <w:pPr>
        <w:spacing w:after="0" w:line="173"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non-exclusive licenses granted in the ordinary course of business, agreements with distributors entered into in the ordinary course of business, other generally available commercial licenses, or Contracts otherwise included in Material Contracts, Section 2.9(h) of the Seller Disclosure Letter lists, as of the date of this Agreement, all of the written agreements (i) pursuant to which Seller and the Selling Affiliates obtained the right to use or practice rights under IP Rights owned by third Persons (excluding Copyright rights) that are used or held for use as of the Closing Date in the conduct of the Business or the development, manufacture, commercialization, or other exploitation of any Acquired Molecule or Acquired Product or (ii) by which Seller or any of the Selling Affiliates has licensed or otherwise authorized a Third Party to use any Patent Right or Know-How included in the Transferred IP (collectively, the “</w:t>
      </w:r>
      <w:r>
        <w:rPr>
          <w:rFonts w:ascii="Times New Roman" w:cs="Times New Roman" w:eastAsia="Times New Roman" w:hAnsi="Times New Roman"/>
          <w:sz w:val="22"/>
          <w:szCs w:val="22"/>
          <w:b w:val="1"/>
          <w:bCs w:val="1"/>
          <w:color w:val="auto"/>
        </w:rPr>
        <w:t>Licensed IP Contracts</w:t>
      </w:r>
      <w:r>
        <w:rPr>
          <w:rFonts w:ascii="Times New Roman" w:cs="Times New Roman" w:eastAsia="Times New Roman" w:hAnsi="Times New Roman"/>
          <w:sz w:val="22"/>
          <w:szCs w:val="22"/>
          <w:color w:val="auto"/>
        </w:rPr>
        <w:t>”), including license agreements, settlement agreements, and covenants not to sue.</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outstanding amounts payable by Seller or its Affiliates to [**] under the License Agreement to reimburse [**] for expenses incurred in the prosecution and maintenance of Patent Rights licensed to Seller or its Affiliates thereunder.</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2.10</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As of the date hereof, except as set forth on Section 2.9 of the Seller Disclosure Letter, (a) no Litigation or investigation relating to the Business, the Transferred Assets, the Acquired Molecules, or Acquired Products is pending against or, to the Knowledge of Seller, threatened in writing against Seller or any Selling Affiliate and (b) neither Seller nor any Selling Affiliate, in connection with the Business, Transferred Assets, Acquired Molecule, or Acquired Product, is subject to any outstanding Order.</w:t>
      </w:r>
    </w:p>
    <w:p>
      <w:pPr>
        <w:spacing w:after="0" w:line="17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Section 2.11</w:t>
      </w:r>
      <w:r>
        <w:rPr>
          <w:rFonts w:ascii="Times New Roman" w:cs="Times New Roman" w:eastAsia="Times New Roman" w:hAnsi="Times New Roman"/>
          <w:sz w:val="22"/>
          <w:szCs w:val="22"/>
          <w:u w:val="single" w:color="auto"/>
          <w:color w:val="auto"/>
        </w:rPr>
        <w:t>Transferred Materials</w:t>
      </w:r>
      <w:r>
        <w:rPr>
          <w:rFonts w:ascii="Times New Roman" w:cs="Times New Roman" w:eastAsia="Times New Roman" w:hAnsi="Times New Roman"/>
          <w:sz w:val="22"/>
          <w:szCs w:val="22"/>
          <w:color w:val="auto"/>
        </w:rPr>
        <w:t>. The Transferred Materials are usable in the ordinary course of business, subject to their respective shelf life and customary wear and tear, and with</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9" w:name="page170"/>
    <w:bookmarkEnd w:id="169"/>
    <w:p>
      <w:pPr>
        <w:jc w:val="both"/>
        <w:spacing w:after="0" w:line="238" w:lineRule="auto"/>
        <w:rPr>
          <w:sz w:val="20"/>
          <w:szCs w:val="20"/>
          <w:color w:val="auto"/>
        </w:rPr>
      </w:pPr>
      <w:r>
        <w:rPr>
          <w:rFonts w:ascii="Times New Roman" w:cs="Times New Roman" w:eastAsia="Times New Roman" w:hAnsi="Times New Roman"/>
          <w:sz w:val="22"/>
          <w:szCs w:val="22"/>
          <w:color w:val="auto"/>
        </w:rPr>
        <w:t>respect to such Transferred Materials that is finished product inventory for use in Clinical Studies that complies with GMP, such Transferred Materials: (a) were manufactured, stored and to the extent packaged and labeled, packaged and labeled in accordance with the specifications for the Acquired Product, good manufacturing practices and applicable Law in all material respects; (b) are not adulterated or misbranded and, to the Knowledge of Seller, is not damaged or obsolete; (c) are not held on consignment; and (d) have been tested in accordance with established protocol sufficient to release the Acquired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2.12</w:t>
      </w:r>
      <w:r>
        <w:rPr>
          <w:rFonts w:ascii="Times New Roman" w:cs="Times New Roman" w:eastAsia="Times New Roman" w:hAnsi="Times New Roman"/>
          <w:sz w:val="22"/>
          <w:szCs w:val="22"/>
          <w:u w:val="single" w:color="auto"/>
          <w:color w:val="auto"/>
        </w:rPr>
        <w:t>Compliance with Laws; Licenses and Permits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6" w:lineRule="auto"/>
        <w:tabs>
          <w:tab w:leader="none" w:pos="203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 Seller and the Selling Affiliates have conducted the Business in compliance with applicable laws, statutes, ordinances, rules, regulations, policies, mandates, guidelines, judgments, injunctions, requirements, orders and decrees of applicable Governmental Authorities (“</w:t>
      </w:r>
      <w:r>
        <w:rPr>
          <w:rFonts w:ascii="Times New Roman" w:cs="Times New Roman" w:eastAsia="Times New Roman" w:hAnsi="Times New Roman"/>
          <w:sz w:val="22"/>
          <w:szCs w:val="22"/>
          <w:b w:val="1"/>
          <w:bCs w:val="1"/>
          <w:color w:val="auto"/>
        </w:rPr>
        <w:t>Laws</w:t>
      </w:r>
      <w:r>
        <w:rPr>
          <w:rFonts w:ascii="Times New Roman" w:cs="Times New Roman" w:eastAsia="Times New Roman" w:hAnsi="Times New Roman"/>
          <w:sz w:val="22"/>
          <w:szCs w:val="22"/>
          <w:color w:val="auto"/>
        </w:rPr>
        <w:t>”) and, to the Knowledge of Seller, are not under investigation by any Governmental Authority with respect to any violation of any Laws applicable to the Business or any Transferred Asset except, in each case, as would not reasonably be expected, individually or in the aggregate, to be material to the Business, the Transferred Assets, or the Development, Manufacture, or Commercialization of Acquired Molecule and Acquired Products.</w:t>
      </w:r>
    </w:p>
    <w:p>
      <w:pPr>
        <w:spacing w:after="0" w:line="181"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(together with the Selling Affiliates) has all licenses, franchises, permits, certificates, approvals or other similar authorizations issued by applicable Governmental Authorities that are necessary for the operation of the Business (the “</w:t>
      </w:r>
      <w:r>
        <w:rPr>
          <w:rFonts w:ascii="Times New Roman" w:cs="Times New Roman" w:eastAsia="Times New Roman" w:hAnsi="Times New Roman"/>
          <w:sz w:val="22"/>
          <w:szCs w:val="22"/>
          <w:b w:val="1"/>
          <w:bCs w:val="1"/>
          <w:color w:val="auto"/>
        </w:rPr>
        <w:t>Permits</w:t>
      </w:r>
      <w:r>
        <w:rPr>
          <w:rFonts w:ascii="Times New Roman" w:cs="Times New Roman" w:eastAsia="Times New Roman" w:hAnsi="Times New Roman"/>
          <w:sz w:val="22"/>
          <w:szCs w:val="22"/>
          <w:color w:val="auto"/>
        </w:rPr>
        <w:t>”) except, in each case, as would not reasonably be expected, individually or in the aggregate, to be material to the Business or the Transferred Assets, or the Development, Manufacture, or Commercialization of Acquired Molecule and Acquired Products. The Permits are valid and in full force and effect and none of the Permits will be terminated as a result of the transactions contemplated by this Agreement, except, in each case, as would not reasonably be expected, individually or in the aggregate, to be material to the Business or the Transferred Assets, or the Development, Manufacture, or Commercialization of Acquired Molecule and Acquired Products. No proceeding is pending or, to the Knowledge of Seller, threatened regarding the withdrawal, suspension, material modification or revocation of any such Permit. As of the date hereof, Seller has not received any written communication from any Governmental Authority threatening to withdraw, materially modify or suspend any Permit. Seller is not in violation of the terms of any Permit.</w:t>
      </w:r>
    </w:p>
    <w:p>
      <w:pPr>
        <w:spacing w:after="0" w:line="187"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or any Selling Affiliate, or, to the Knowledge of Seller, the Seller or any of the Selling Affiliate’s officers, employees, or other representatives (i) has used or is using any funds for any unlawful contributions, unlawful gifts, unlawful entertainment or other unlawful expenses; (ii) has made any direct or indirect unlawful payments to any foreign or domestic Governmental Authority; (iii) has violated and is not violating any Anti-Corruption Laws; (iv) has established or maintained, or is maintaining, any unlawful or unrecorded fund of monies or other properties; (v) has made, or is making, any false or fictitious entries on its accounting books and records; (vi) has made, or is making, any bribe, rebate, payoff, influence payment, kickback or other unlawful payment of any nature, or has paid, or is paying, any fee,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0" w:name="page171"/>
    <w:bookmarkEnd w:id="170"/>
    <w:p>
      <w:pPr>
        <w:jc w:val="both"/>
        <w:spacing w:after="0" w:line="238" w:lineRule="auto"/>
        <w:rPr>
          <w:sz w:val="20"/>
          <w:szCs w:val="20"/>
          <w:color w:val="auto"/>
        </w:rPr>
      </w:pPr>
      <w:r>
        <w:rPr>
          <w:rFonts w:ascii="Times New Roman" w:cs="Times New Roman" w:eastAsia="Times New Roman" w:hAnsi="Times New Roman"/>
          <w:sz w:val="22"/>
          <w:szCs w:val="22"/>
          <w:color w:val="auto"/>
        </w:rPr>
        <w:t>commission or other payment that has not been properly recorded on its accounting books and records as required by the Anti-Corruption Laws; or (vii) has otherwise given or received anything of value to or from any official of any Governmental Authority, an intermediary for payment to any individual including officials of any Governmental Authority, any political party or customer for the purpose of obtaining or retaining business, in each case ((i) through (vii)), in connection with the Business or any Acquired Molecule or Acquired Product.</w:t>
      </w:r>
    </w:p>
    <w:p>
      <w:pPr>
        <w:spacing w:after="0" w:line="177" w:lineRule="exact"/>
        <w:rPr>
          <w:sz w:val="20"/>
          <w:szCs w:val="20"/>
          <w:color w:val="auto"/>
        </w:rPr>
      </w:pPr>
    </w:p>
    <w:p>
      <w:pPr>
        <w:jc w:val="both"/>
        <w:ind w:firstLine="1505"/>
        <w:spacing w:after="0" w:line="236" w:lineRule="auto"/>
        <w:tabs>
          <w:tab w:leader="none" w:pos="203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made by Seller or any Selling Affiliate to healthcare providers pursuant to any Transferred Contract or Shared Contract (i) were made for bona fide services actually rendered by such healthcare provider, (ii) were, in all material respects, consistent with fair market value for the services provided to the extent required by applicable Laws; (iii) were commercially reasonable based on the facts and circumstances known at the time the applicable arrangements were entered into, and (iv) were not structured in a manner that would, in any material respect, take into account the volume or value of referrals, prescriptions, orders, or other business generated in violation of applicable Laws.</w:t>
      </w:r>
    </w:p>
    <w:p>
      <w:pPr>
        <w:spacing w:after="0" w:line="181"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Seller makes no representation or warranty in this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Compliance with Laws; Licenses and Permits</w:t>
      </w:r>
      <w:r>
        <w:rPr>
          <w:rFonts w:ascii="Times New Roman" w:cs="Times New Roman" w:eastAsia="Times New Roman" w:hAnsi="Times New Roman"/>
          <w:sz w:val="22"/>
          <w:szCs w:val="22"/>
          <w:color w:val="auto"/>
        </w:rPr>
        <w:t xml:space="preserve">) with respect to Litigation matters, regulatory matters or Tax matters, which matters are exclusively addressed in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Litigation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Tax Matters</w:t>
      </w:r>
      <w:r>
        <w:rPr>
          <w:rFonts w:ascii="Times New Roman" w:cs="Times New Roman" w:eastAsia="Times New Roman" w:hAnsi="Times New Roman"/>
          <w:sz w:val="22"/>
          <w:szCs w:val="22"/>
          <w:color w:val="auto"/>
        </w:rPr>
        <w:t>), respectively.</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2.13</w:t>
      </w:r>
      <w:r>
        <w:rPr>
          <w:rFonts w:ascii="Times New Roman" w:cs="Times New Roman" w:eastAsia="Times New Roman" w:hAnsi="Times New Roman"/>
          <w:sz w:val="22"/>
          <w:szCs w:val="22"/>
          <w:u w:val="single" w:color="auto"/>
          <w:color w:val="auto"/>
        </w:rPr>
        <w:t>Pre-clinical Development and Clinical Trials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7" w:lineRule="auto"/>
        <w:tabs>
          <w:tab w:leader="none" w:pos="2036"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studies, tests, pre-clinical development, and Clinical Trials conducted by or on behalf of the Seller with respect to the Transferred Assets, and, to the Knowledge of the Seller, all activities related to the manufacture of compounds and products for use therein, have been conducted in all material respects in accordance with established protocols, procedures and controls pursuant to accepted professional and scientific standards for products or product candidates comparable to those being developed by the Seller and all applicable Laws, including the Federal Food, Drug, and Cosmetic Act </w:t>
      </w:r>
      <w:r>
        <w:rPr>
          <w:rFonts w:ascii="Times New Roman" w:cs="Times New Roman" w:eastAsia="Times New Roman" w:hAnsi="Times New Roman"/>
          <w:sz w:val="21"/>
          <w:szCs w:val="21"/>
          <w:color w:val="282828"/>
        </w:rPr>
        <w:t>and 21 C.F.R. parts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82828"/>
        </w:rPr>
        <w:t>50, 54, 56, 58 and 312. Neither Seller nor any Selling Affiliates or, to the Knowledge of Seller, any of their officer or employees, has received any written communication from FDA or any other Governmental Authority (including any warning letter or untitled letter) that alleges that the Business is not in compliance with any applicable requirements under Laws.</w:t>
      </w:r>
    </w:p>
    <w:p>
      <w:pPr>
        <w:spacing w:after="0" w:line="171" w:lineRule="exact"/>
        <w:rPr>
          <w:rFonts w:ascii="Times New Roman" w:cs="Times New Roman" w:eastAsia="Times New Roman" w:hAnsi="Times New Roman"/>
          <w:sz w:val="21"/>
          <w:szCs w:val="21"/>
          <w:color w:val="auto"/>
        </w:rPr>
      </w:pPr>
    </w:p>
    <w:p>
      <w:pPr>
        <w:jc w:val="both"/>
        <w:ind w:firstLine="1505"/>
        <w:spacing w:after="0" w:line="239" w:lineRule="auto"/>
        <w:tabs>
          <w:tab w:leader="none" w:pos="203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INDs included in the Transferred Assets are current and in full force and effect, and no suspension, revocation, or cancellation of such INDs is pending or threatened in writing. Seller has made available to Buyer true and complete copies of each such IND and all material governmental correspondence (including copies of official notices, citations or decisions) in the files of Seller or the Selling Affiliates relating to such INDs.</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Clinical Trial currently being conducted with respect to any Acquired Molecule or Acquired Product or under any IND that is included in the Transferred Assets.</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to the Knowledge of Seller, any of its officers, employees or Selling Affiliates has been, or is currently, subject to any enforcement proceedings by the FDA</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1" w:name="page172"/>
    <w:bookmarkEnd w:id="171"/>
    <w:p>
      <w:pPr>
        <w:jc w:val="both"/>
        <w:spacing w:after="0" w:line="236" w:lineRule="auto"/>
        <w:rPr>
          <w:sz w:val="20"/>
          <w:szCs w:val="20"/>
          <w:color w:val="auto"/>
        </w:rPr>
      </w:pPr>
      <w:r>
        <w:rPr>
          <w:rFonts w:ascii="Times New Roman" w:cs="Times New Roman" w:eastAsia="Times New Roman" w:hAnsi="Times New Roman"/>
          <w:sz w:val="22"/>
          <w:szCs w:val="22"/>
          <w:color w:val="auto"/>
        </w:rPr>
        <w:t>or any other Governmental Authority as relates to the Business. Since November 1, 2021, there has not been and there is not now in effect any Form 483 observation, civil, criminal or administrative action, suit, demand, claim, complaint, hearing, investigation, demand letter, warning letter, untitled letter, proceeding or request for information pending regarding any Acquired Product against Seller or, to the Knowledge of Seller, any of its officers, employees or Selling Affiliates, and Seller has no current liability (whether actual or contingent) for failure to comply with the applicable Laws with respect to the operation of the Business.</w:t>
      </w:r>
    </w:p>
    <w:p>
      <w:pPr>
        <w:spacing w:after="0" w:line="181" w:lineRule="exact"/>
        <w:rPr>
          <w:sz w:val="20"/>
          <w:szCs w:val="20"/>
          <w:color w:val="auto"/>
        </w:rPr>
      </w:pPr>
    </w:p>
    <w:p>
      <w:pPr>
        <w:jc w:val="both"/>
        <w:ind w:firstLine="1505"/>
        <w:spacing w:after="0" w:line="235" w:lineRule="auto"/>
        <w:tabs>
          <w:tab w:leader="none" w:pos="203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to the Knowledge of Seller, any of its officers, employees, agents, or Selling Affiliates, has made an untrue statement of material fact or fraudulent statement to the FDA or any other Governmental Authority, failed to disclose a material fact required to be disclosed to the FDA or any other Governmental Authority, or committed an act, made a statement, or failed to make a statement, including with respect to any scientific data or information, that, at the time such disclosure was made or failure to disclose occurred, would reasonably be expected to provide a basis for the FDA or any other Governmental Authority to invoke the FDA Application Integrity Policy respecting “Fraud, Untrue Statements of Material Facts, Bribery and Illegal Gratuities,” set forth in FDA’s Compliance Policy Guide Sec. 120.100 (CPG 7150.09) or any similar policy, in each case as related to the Acquired Product.</w:t>
      </w:r>
    </w:p>
    <w:p>
      <w:pPr>
        <w:spacing w:after="0" w:line="178"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studies, tests, pre-clinical development, or Clinical Trials conducted by or on behalf of the Seller with respect to the Transferred Assets have (i) been conducted using any clinical investigators who have (A) been debarred or have been convicted of any crime or engaged in any conduct that did result in debarment under 21 U.S.C. § 335a or disqualification as a clinical investigator under 21 C.F.R. § 312.70 or any similar Law or (B) been excluded or convicted of any crime which would reasonably be expected to result in being excluded from participating in the Federal health care programs under Section 1128 of the Social Security Act of 1935, as amended, or (ii) been terminated or suspended prior to completion. To the knowledge of Seller, no clinical investigator that has participated or is participating in, or institutional review board that has or has had jurisdiction over, any studies, tests, pre-clinical development, or Clinical Trials conducted by or on behalf of Seller has placed a clinical hold order on, or otherwise terminated, suspended, or materially delayed, such study, test, pre-clinical development, or Clinical Trial based on an actual or alleged lack of safety or efficacy or a failure to conduct such activity in compliance with applicable Laws.</w:t>
      </w:r>
    </w:p>
    <w:p>
      <w:pPr>
        <w:spacing w:after="0" w:line="187"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received any notices or correspondence from the FDA or other Governmental Authority or any institutional review board or comparable authority requiring the termination, suspension or material modification of any studies, tests, pre-clinical development or Clinical Trials conducted by or on behalf of the Seller with respect to the Transferred Assets.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2.14</w:t>
      </w:r>
      <w:r>
        <w:rPr>
          <w:rFonts w:ascii="Times New Roman" w:cs="Times New Roman" w:eastAsia="Times New Roman" w:hAnsi="Times New Roman"/>
          <w:sz w:val="22"/>
          <w:szCs w:val="22"/>
          <w:u w:val="single" w:color="auto"/>
          <w:color w:val="auto"/>
        </w:rPr>
        <w:t>Tax Matters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9" w:lineRule="auto"/>
        <w:tabs>
          <w:tab w:leader="none" w:pos="203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material Tax Returns that are required to be filed on or before the date of this Agreement in respect of the Transferred Assets or the operation of the Business have been filed (taking into account any applicable extensions). All such Tax Returns were correct and complete in all material respects and were prepared and filed in material compliance with all applicable Laws.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2" w:name="page173"/>
    <w:bookmarkEnd w:id="172"/>
    <w:p>
      <w:pPr>
        <w:ind w:firstLine="1505"/>
        <w:spacing w:after="0" w:line="258" w:lineRule="auto"/>
        <w:tabs>
          <w:tab w:leader="none" w:pos="203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material Taxes in respect of the Transferred Assets or the operation of the Business that are due and payable with respect to Pre-Closing Tax Periods have been paid in full.</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Liens for any Taxes upon any of the Transferred Assets.</w:t>
      </w:r>
    </w:p>
    <w:p>
      <w:pPr>
        <w:spacing w:after="0" w:line="202"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set forth in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Tax Matters</w:t>
      </w:r>
      <w:r>
        <w:rPr>
          <w:rFonts w:ascii="Times New Roman" w:cs="Times New Roman" w:eastAsia="Times New Roman" w:hAnsi="Times New Roman"/>
          <w:sz w:val="22"/>
          <w:szCs w:val="22"/>
          <w:color w:val="auto"/>
        </w:rPr>
        <w:t>) are the sole representations and warranties relating to Taxes and no other representations or warranties contained in this Agreement shall be construed to cover any matter involving Taxes.</w:t>
      </w:r>
    </w:p>
    <w:p>
      <w:pPr>
        <w:spacing w:after="0" w:line="17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2.15</w:t>
      </w:r>
      <w:r>
        <w:rPr>
          <w:rFonts w:ascii="Times New Roman" w:cs="Times New Roman" w:eastAsia="Times New Roman" w:hAnsi="Times New Roman"/>
          <w:sz w:val="22"/>
          <w:szCs w:val="22"/>
          <w:u w:val="single" w:color="auto"/>
          <w:color w:val="auto"/>
        </w:rPr>
        <w:t>Finders’ Fees</w:t>
      </w:r>
      <w:r>
        <w:rPr>
          <w:rFonts w:ascii="Times New Roman" w:cs="Times New Roman" w:eastAsia="Times New Roman" w:hAnsi="Times New Roman"/>
          <w:sz w:val="22"/>
          <w:szCs w:val="22"/>
          <w:color w:val="auto"/>
        </w:rPr>
        <w:t>. Except as set forth in Section 2.15 of the Seller Disclosure Letter, there is no investment banker, broker, finder or other intermediary retained by or authorized to act on behalf of Seller who might be entitled to any fee or commission from Buyer or any of its Affiliates upon consummation of the transactions contemplated by this Agreement.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2.16</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Section 2.17</w:t>
      </w:r>
      <w:r>
        <w:rPr>
          <w:rFonts w:ascii="Times New Roman" w:cs="Times New Roman" w:eastAsia="Times New Roman" w:hAnsi="Times New Roman"/>
          <w:sz w:val="22"/>
          <w:szCs w:val="22"/>
          <w:u w:val="single" w:color="auto"/>
          <w:color w:val="auto"/>
        </w:rPr>
        <w:t>No Other Representations and Warranties</w:t>
      </w:r>
      <w:r>
        <w:rPr>
          <w:rFonts w:ascii="Times New Roman" w:cs="Times New Roman" w:eastAsia="Times New Roman" w:hAnsi="Times New Roman"/>
          <w:sz w:val="22"/>
          <w:szCs w:val="22"/>
          <w:color w:val="auto"/>
        </w:rPr>
        <w:t>. EXCEPT AS EXPRESSLY SET FORTH IN THIS AGREEMENT, (A) NONE OF SELLER OR ANY OF ITS AFFILIATES IS MAKING OR HAS MADE ANY REPRESENTATION OR WARRANTY, EXPRESS OR IMPLIED, AT LAW OR IN EQUITY, WITH RESPECT TO THIS AGREEMENT, THE ANCILLARY AGREEMENTS, SELLER, THE SELLING AFFILIATES, THE TRANSFERRED ASSETS, THE ASSUMED LIABILITIES, THE BUSINESS, THE TRANSACTIONS CONTEMPLATED BY THIS AGREEMENT (INCLUDING ANY CONSENTS OR APPROVALS REQUIRED IN CONNECTION THEREWITH) OR ANY INFORMATION PROVIDED OR MADE AVAILABLE TO BUYER IN CONNECTION WITH THE TRANSACTIONS CONTEMPLATED BY THIS AGREEMENT (INCLUDING ANY FORECASTS, PROJECTIONS, ESTIMATES, BUDGETS, PRESENTATIONS CONCERNING THE BUSINESS (INCLUDING WITHOUT LIMITATION, THE CONFIDENTIAL INFORMATION MEMORANDA AND ANY “TEASER” DOCUMENTS), OR DUE DILIGENCE OR OTHER “DATA ROOM” MATERIALS), INCLUDING ANY WARRANTY WITH RESPECT TO MERCHANTABILITY OR FITNESS FOR ANY PARTICULAR PURPOSE, AND ALL OTHER REPRESENTATIONS OR WARRANTIES ARE HEREBY EXPRESSLY DISCLAIMED AND SHALL NOT BE DEEMED TO BE OR TO INCLUDE REPRESENTATIONS OR WARRANTIES OF ANY OF THE FOREGOING PARTIES AND HAVE NOT BEEN RELIED UPON BY BUYER OR ANY OF ITS AFFILIATES IN EXECUTING, DELIVERING AND PERFORMING THIS AGREEMENT AND THE TRANSACTIONS CONTEMPLATED HEREBY; AND (B) ALL OF THE ASSETS AND LIABILITIES TO BE SOLD, CONVEYED, ASSIGNED, TRANSFERRED OR ASSUMED, AS APPLICABLE, IN ACCORDANCE WITH THIS AGREEMENT, SHALL BE SOLD, CONVEYED, ASSIGNED, TRANSFERRED OR ASSUMED ON AN “AS IS, WHERE IS” BASIS.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BUYER</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Except as set forth in the applicable section identified in the Buyer Disclosure Letter, Buyer represents and warrants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Seller as follows:</w:t>
      </w:r>
    </w:p>
    <w:p>
      <w:pPr>
        <w:spacing w:after="0" w:line="18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3.1</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Buyer is a duly organized corporation, validly existing and in good standing (to the extent such concept is recognized in the relevant jurisdiction) under the Laws of its respective jurisdiction of formation, and has full corporate or other applicable legal power and authority to carry on its business in the places where such businesses are now being conducted, except where the absence of such power and authority would not be expected to be material to Buyer, taken as a whole.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3.2</w:t>
      </w:r>
      <w:r>
        <w:rPr>
          <w:rFonts w:ascii="Times New Roman" w:cs="Times New Roman" w:eastAsia="Times New Roman" w:hAnsi="Times New Roman"/>
          <w:sz w:val="22"/>
          <w:szCs w:val="22"/>
          <w:u w:val="single" w:color="auto"/>
          <w:color w:val="auto"/>
        </w:rPr>
        <w:t>Corporate and Governmental Authorization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9" w:lineRule="auto"/>
        <w:tabs>
          <w:tab w:leader="none" w:pos="2036"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has full corporate power and authority to enter into this Agreement and the Ancillary Agreements, to perform its obligations hereunder and thereunder and to consummate the transactions contemplated hereby and thereby. This Agreement has been, and the Ancillary Agreements will be by Closing, duly authorized and approved by all necessary corporate action by Buyer. The performance of Buyer’s obligations hereunder and thereunder and the consummation of the transactions contemplated hereby and thereby have been duly authorized by all requisite corporate action of Buyer. Buyer has duly executed and delivered this Agreement and on the Closing Date will have duly executed and delivered the Ancillary Agreements.</w:t>
      </w:r>
    </w:p>
    <w:p>
      <w:pPr>
        <w:spacing w:after="0" w:line="170" w:lineRule="exact"/>
        <w:rPr>
          <w:rFonts w:ascii="Times New Roman" w:cs="Times New Roman" w:eastAsia="Times New Roman" w:hAnsi="Times New Roman"/>
          <w:sz w:val="21"/>
          <w:szCs w:val="21"/>
          <w:color w:val="auto"/>
        </w:rPr>
      </w:pPr>
    </w:p>
    <w:p>
      <w:pPr>
        <w:jc w:val="both"/>
        <w:ind w:firstLine="1505"/>
        <w:spacing w:after="0" w:line="235" w:lineRule="auto"/>
        <w:tabs>
          <w:tab w:leader="none" w:pos="203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Assuming the due authorization, execution and delivery of this Agreement by Seller, this Agreement constitutes a legal, valid and binding obligation of Buyer, enforceable against Buyer in accordance with its terms, except as enforcement may be limited by bankruptcy, insolvency, reorganization, moratorium or similar Laws affecting creditors’ rights generally and by general equity principles. Assuming the due authorization, execution and delivery of the Ancillary Agreements by Seller or such applicable Selling Affiliate, each Ancillary Agreement to be executed by Buyer, when delivered hereunder, will be duly and validly executed and delivered, and will constitute a legal, valid and binding obligation of Buyer, enforceable in accordance with its terms, except as enforcement may be limited by bankruptcy, insolvency, reorganization, moratorium or similar Laws affecting creditors’ rights generally and by general equity principles.</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3.3</w:t>
      </w:r>
      <w:r>
        <w:rPr>
          <w:rFonts w:ascii="Times New Roman" w:cs="Times New Roman" w:eastAsia="Times New Roman" w:hAnsi="Times New Roman"/>
          <w:sz w:val="22"/>
          <w:szCs w:val="22"/>
          <w:u w:val="single" w:color="auto"/>
          <w:color w:val="auto"/>
        </w:rPr>
        <w:t>Non-Contravention</w:t>
      </w:r>
      <w:r>
        <w:rPr>
          <w:rFonts w:ascii="Times New Roman" w:cs="Times New Roman" w:eastAsia="Times New Roman" w:hAnsi="Times New Roman"/>
          <w:sz w:val="22"/>
          <w:szCs w:val="22"/>
          <w:color w:val="auto"/>
        </w:rPr>
        <w:t>. The execution and delivery of this Agreement and the Ancillary Agreements by Buyer, and the performance of its obligations hereunder and thereunder do not (a) violate in any material respect any provision of the Organizational Documents of Buyer, (b) violate any Law of any Governmental Authority applicable to Buyer or any Order against Buyer or (c) require any consent, authorization, approval, waiver or other action by any Person under any provision of any material agreement or other instrument to which Buyer is a party.</w:t>
      </w:r>
    </w:p>
    <w:p>
      <w:pPr>
        <w:spacing w:after="0" w:line="17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Section 3.4</w:t>
      </w:r>
      <w:r>
        <w:rPr>
          <w:rFonts w:ascii="Times New Roman" w:cs="Times New Roman" w:eastAsia="Times New Roman" w:hAnsi="Times New Roman"/>
          <w:sz w:val="21"/>
          <w:szCs w:val="21"/>
          <w:u w:val="single" w:color="auto"/>
          <w:color w:val="auto"/>
        </w:rPr>
        <w:t>Sufficiency of Funds</w:t>
      </w:r>
      <w:r>
        <w:rPr>
          <w:rFonts w:ascii="Times New Roman" w:cs="Times New Roman" w:eastAsia="Times New Roman" w:hAnsi="Times New Roman"/>
          <w:sz w:val="21"/>
          <w:szCs w:val="21"/>
          <w:color w:val="auto"/>
        </w:rPr>
        <w:t>. Buyer has, and at Closing will have, sufficient funds on hand to consummate the transactions contemplated by this Agreement and the Ancillary Agreements and to deliver the Upfront Closing Consideration and all fees and expenses related to the transactions contemplated by this Agreement and the Ancillary Agreements at Closing, and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4" w:name="page175"/>
    <w:bookmarkEnd w:id="174"/>
    <w:p>
      <w:pPr>
        <w:jc w:val="both"/>
        <w:spacing w:after="0" w:line="244" w:lineRule="auto"/>
        <w:rPr>
          <w:sz w:val="20"/>
          <w:szCs w:val="20"/>
          <w:color w:val="auto"/>
        </w:rPr>
      </w:pPr>
      <w:r>
        <w:rPr>
          <w:rFonts w:ascii="Times New Roman" w:cs="Times New Roman" w:eastAsia="Times New Roman" w:hAnsi="Times New Roman"/>
          <w:sz w:val="22"/>
          <w:szCs w:val="22"/>
          <w:color w:val="auto"/>
        </w:rPr>
        <w:t>thereafter to pay and discharge the Assumed Liabilities as they become due through the [**] anniversary of the Closing Date. Buyer acknowledges and agrees that its obligations under this Agreement, including its obligation to consummate the transactions contemplated by this Agreement are not contingent upon Buyer’s ability to obtain financing.</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Section 3.5</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As of the date hereof and as of immediately after giving effect to the consummation of the transactions contemplated by this Agreement, Buyer and its Affiliates will be Solvent.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3.6</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is no Litigation pending, or, to the knowledge of Buyer, threatened against or affecting Buyer before any court or arbitrator or any Governmental Authority that in any manner challenges or seeks to prevent, enjoin, alter, or materially delay the transactions contemplated by this Agreement or any Ancillary Agreement.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3.7</w:t>
      </w:r>
      <w:r>
        <w:rPr>
          <w:rFonts w:ascii="Times New Roman" w:cs="Times New Roman" w:eastAsia="Times New Roman" w:hAnsi="Times New Roman"/>
          <w:sz w:val="22"/>
          <w:szCs w:val="22"/>
          <w:u w:val="single" w:color="auto"/>
          <w:color w:val="auto"/>
        </w:rPr>
        <w:t>Finders’ Fees</w:t>
      </w:r>
      <w:r>
        <w:rPr>
          <w:rFonts w:ascii="Times New Roman" w:cs="Times New Roman" w:eastAsia="Times New Roman" w:hAnsi="Times New Roman"/>
          <w:sz w:val="22"/>
          <w:szCs w:val="22"/>
          <w:color w:val="auto"/>
        </w:rPr>
        <w:t>. There is no investment banker, broker, finder or other intermediary retained by or authorized to act on behalf of Buyer who might be entitled to any fee or commission from Seller or any of the Selling Affiliates upon consummation of the transactions contemplated by this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23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CERTAIN COVENANTS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4.1</w:t>
      </w:r>
      <w:r>
        <w:rPr>
          <w:rFonts w:ascii="Times New Roman" w:cs="Times New Roman" w:eastAsia="Times New Roman" w:hAnsi="Times New Roman"/>
          <w:sz w:val="22"/>
          <w:szCs w:val="22"/>
          <w:u w:val="single" w:color="auto"/>
          <w:color w:val="auto"/>
        </w:rPr>
        <w:t>Access to Information; Books and Records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6" w:lineRule="auto"/>
        <w:tabs>
          <w:tab w:leader="none" w:pos="2036"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Closing, each Party shall promptly afford the other Party and such other Party’s respective agents reasonable access to such Party’s books and records, information, employees and auditors related to the Transferred Assets and Assumed Liabilities to the extent necessary or useful for such Party in connection with any audit, investigation, dispute or Litigation related to the Business unless it is related to an audit, investigation, dispute or Litigation between Buyer and Seller;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Party agrees to reimburse the other Party promptly for all reasonable and documented out-of-pocket costs and expenses incurred in connection with any such request.</w:t>
      </w:r>
    </w:p>
    <w:p>
      <w:pPr>
        <w:spacing w:after="0" w:line="17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w:t>
      </w:r>
      <w:r>
        <w:rPr>
          <w:rFonts w:ascii="Times New Roman" w:cs="Times New Roman" w:eastAsia="Times New Roman" w:hAnsi="Times New Roman"/>
          <w:sz w:val="22"/>
          <w:szCs w:val="22"/>
          <w:u w:val="single" w:color="auto"/>
          <w:color w:val="auto"/>
        </w:rPr>
        <w:t>Section 4.1(a)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Access to Information; Books and Records</w:t>
      </w:r>
      <w:r>
        <w:rPr>
          <w:rFonts w:ascii="Times New Roman" w:cs="Times New Roman" w:eastAsia="Times New Roman" w:hAnsi="Times New Roman"/>
          <w:sz w:val="22"/>
          <w:szCs w:val="22"/>
          <w:color w:val="auto"/>
        </w:rPr>
        <w:t>),</w:t>
      </w:r>
    </w:p>
    <w:p>
      <w:pPr>
        <w:spacing w:after="0" w:line="18" w:lineRule="exact"/>
        <w:rPr>
          <w:rFonts w:ascii="Times New Roman" w:cs="Times New Roman" w:eastAsia="Times New Roman" w:hAnsi="Times New Roman"/>
          <w:sz w:val="22"/>
          <w:szCs w:val="22"/>
          <w:color w:val="auto"/>
        </w:rPr>
      </w:pPr>
    </w:p>
    <w:p>
      <w:pPr>
        <w:jc w:val="both"/>
        <w:ind w:firstLine="8"/>
        <w:spacing w:after="0" w:line="244" w:lineRule="auto"/>
        <w:tabs>
          <w:tab w:leader="none" w:pos="266"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access rights pursuant to </w:t>
      </w:r>
      <w:r>
        <w:rPr>
          <w:rFonts w:ascii="Times New Roman" w:cs="Times New Roman" w:eastAsia="Times New Roman" w:hAnsi="Times New Roman"/>
          <w:sz w:val="21"/>
          <w:szCs w:val="21"/>
          <w:u w:val="single" w:color="auto"/>
          <w:color w:val="auto"/>
        </w:rPr>
        <w:t>Section 4.1(a)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Access to Information; Books and Records</w:t>
      </w:r>
      <w:r>
        <w:rPr>
          <w:rFonts w:ascii="Times New Roman" w:cs="Times New Roman" w:eastAsia="Times New Roman" w:hAnsi="Times New Roman"/>
          <w:sz w:val="21"/>
          <w:szCs w:val="21"/>
          <w:color w:val="auto"/>
        </w:rPr>
        <w:t>) shall be exercised in such manner as not to interfere unreasonably with the conduct of the Business or any other business of the Party granting such access, and (ii) the Party granting access to the other Party may withhold any document (or portions thereof) or information (A) that is subject to the terms of a non-disclosure agreement with a Third Party, (B) that may constitute privileged attorney-client communications or attorney work product and the transfer of which, or the provision of access to which, as reasonably determined by such Party’s counsel, constitutes a waiver of any such privilege or (C) if the provision of access to such document (or portion thereof) or information, as determined by such Party’s counsel, would reasonably be expected to conflict with applicable Laws.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4.2</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5" w:name="page176"/>
    <w:bookmarkEnd w:id="175"/>
    <w:p>
      <w:pPr>
        <w:jc w:val="both"/>
        <w:ind w:firstLine="1505"/>
        <w:spacing w:after="0" w:line="239" w:lineRule="auto"/>
        <w:tabs>
          <w:tab w:leader="none" w:pos="203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Buyer and Seller acknowledges that the information provided to them in connection with this Agreement and the consummation of the transactions hereunder is subject to the terms of the Confidentiality Agreement. Effective upon, and only upon, the Closing, the Confidentiality Agreement shall terminate with respect to information included in or related to the Transferred Assets.</w:t>
      </w:r>
    </w:p>
    <w:p>
      <w:pPr>
        <w:spacing w:after="0" w:line="180" w:lineRule="exact"/>
        <w:rPr>
          <w:rFonts w:ascii="Times New Roman" w:cs="Times New Roman" w:eastAsia="Times New Roman" w:hAnsi="Times New Roman"/>
          <w:sz w:val="22"/>
          <w:szCs w:val="22"/>
          <w:color w:val="auto"/>
        </w:rPr>
      </w:pPr>
    </w:p>
    <w:p>
      <w:pPr>
        <w:jc w:val="both"/>
        <w:ind w:firstLine="1505"/>
        <w:spacing w:after="0" w:line="232" w:lineRule="auto"/>
        <w:tabs>
          <w:tab w:leader="none" w:pos="203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Closing, Seller and Selling Affiliates shall, and shall cause their respective Affiliates and representatives to, maintain in confidence any written, oral, or other information relating to the Business (including all Transferred Know-How and Data included therein) (“</w:t>
      </w:r>
      <w:r>
        <w:rPr>
          <w:rFonts w:ascii="Times New Roman" w:cs="Times New Roman" w:eastAsia="Times New Roman" w:hAnsi="Times New Roman"/>
          <w:sz w:val="22"/>
          <w:szCs w:val="22"/>
          <w:b w:val="1"/>
          <w:bCs w:val="1"/>
          <w:color w:val="auto"/>
        </w:rPr>
        <w:t>Confidential Business Information</w:t>
      </w:r>
      <w:r>
        <w:rPr>
          <w:rFonts w:ascii="Times New Roman" w:cs="Times New Roman" w:eastAsia="Times New Roman" w:hAnsi="Times New Roman"/>
          <w:sz w:val="22"/>
          <w:szCs w:val="22"/>
          <w:color w:val="auto"/>
        </w:rPr>
        <w:t xml:space="preserve">”), and Seller and Selling Affiliates shall not disclose to any Third Party or use for any purpose such Confidential Business Information without the Buyer’s prior written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Confidential Business Information will not include information that Seller or the applicable Selling Affiliate can demonstrate with documentary evidence that such information (i) is publicly available other than as a result of a disclosure by the Seller or Selling Affiliate or any of its officers, directors, managers, employees, agents or other representatives in violation of this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Confidentiality</w:t>
      </w:r>
      <w:r>
        <w:rPr>
          <w:rFonts w:ascii="Times New Roman" w:cs="Times New Roman" w:eastAsia="Times New Roman" w:hAnsi="Times New Roman"/>
          <w:sz w:val="22"/>
          <w:szCs w:val="22"/>
          <w:color w:val="auto"/>
        </w:rPr>
        <w:t xml:space="preserve">), (ii) is obtained by the Seller or any Selling Affiliate or their respective representatives after the Closing from a Third Party that, at such time, was not under a legal, contractual or fiduciary duty of confidentiality with respect to such information, or (iii) was independently developed by the Seller or the Selling Affiliates after the Closing without reference to or use of any Transferred Know-How or other confidential information in relation to the Transferred Assets. Notwithstanding the foregoing, Seller and Selling Affiliates may disclose Confidential Business Information to the extent (x) it is required to be disclosed pursuant to Law or any listing agreement with or the rules of any applicable securities exchange, or (y) it is required to disclose such information by judicial order or administrative process or pursuant to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Seller (A) notifies Buyer of the disclosure requirement promptly after Seller becomes aware of the judicial order or other requirement (unless such notification would be unlawful); (B) cooperates with Buyer in seeking a protective order or similar relief to protect the confidentiality of the information to be disclosed (in each case at the expense of Buyer); and (C) limits the disclosure to what is requested by the judicial order or other requirement. Notwithstanding the foregoing, Seller may retain one (1) copy of Confidential Business Information in its confidential files for archival or compliance purposes and may retain such additional copies of or any computer records or files containing Confidential Business Information or any of its Affiliates’ confidential information that have been created solely by automatic archiving and back-up procedures, to the extent created and retained in a manner consistent with the Seller’s standard archiving and back-up procedures, but not for any other use or purpose. All such Confidential Business Information shall continue to be subject to the terms of this Agreement.</w:t>
      </w:r>
    </w:p>
    <w:p>
      <w:pPr>
        <w:spacing w:after="0" w:line="178"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foregoing, after the Closing and following transfer of the Transferred Assets and Assumed Liabilities in accordance with this Agreement, each Party shall, and shall cause its Affiliates and representatives to, promptly (and in any event within [**] after the Closing) remove, erase, delete or otherwise destroy (i) all information of or relating to the other Party (other than, with respect to Buyer, information relating to the Business, including any Transferred Assets or Assumed Liabilities) (whether in print, electronic or other forms) in the possession of any of its representatives and (ii) in the case of Selling Affiliates, all Confidential Business Information; in each case ((i) and (ii)),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subject to </w:t>
      </w:r>
      <w:r>
        <w:rPr>
          <w:rFonts w:ascii="Times New Roman" w:cs="Times New Roman" w:eastAsia="Times New Roman" w:hAnsi="Times New Roman"/>
          <w:sz w:val="22"/>
          <w:szCs w:val="22"/>
          <w:u w:val="single" w:color="auto"/>
          <w:color w:val="auto"/>
        </w:rPr>
        <w:t>Section 4.2(b)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Confidentiality</w:t>
      </w:r>
      <w:r>
        <w:rPr>
          <w:rFonts w:ascii="Times New Roman" w:cs="Times New Roman" w:eastAsia="Times New Roman" w:hAnsi="Times New Roman"/>
          <w:sz w:val="22"/>
          <w:szCs w:val="22"/>
          <w:color w:val="auto"/>
        </w:rPr>
        <w:t>), Seller and the Selling Affiliates shall have the right to retain copies of all books,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6" w:name="page177"/>
    <w:bookmarkEnd w:id="176"/>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data, files, information and records of the Business in any media (including, for the avoidance of doubt, Tax Returns and other information and documents relating to Tax matters,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Tax Returns relating solely to the Transferred Assets or the Business will be Transferred Assets) (other than any trade secrets and technical or scientific information included in the Transferred Know-How) relating to periods ending on or prior to the Closing Date (i) as may be required by any Governmental Authority or (ii) as may be necessary for Seller or the Selling Affiliates to perform their respective obligations pursuant to this Agreement or any of the Ancillary Agreements, in each case subject to compliance with all applicable privacy Laws.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4.3</w:t>
      </w:r>
      <w:r>
        <w:rPr>
          <w:rFonts w:ascii="Times New Roman" w:cs="Times New Roman" w:eastAsia="Times New Roman" w:hAnsi="Times New Roman"/>
          <w:sz w:val="22"/>
          <w:szCs w:val="22"/>
          <w:u w:val="single" w:color="auto"/>
          <w:color w:val="auto"/>
        </w:rPr>
        <w:t>Public Announcement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4" w:lineRule="auto"/>
        <w:tabs>
          <w:tab w:leader="none" w:pos="2036"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Party to this Agreement shall originate any publicity, news release or other similar public announcement or disclosure, written or oral, relating to this Agreement or any documents or transactions contemplated hereby or the existence of any arrangement between the Parties, without the prior written consent of the other Party (not to be unreasonably withheld, conditioned, or delayed) whether or not named in such publicity, news release or other similar public announcement, except (a) each Party may issue a press release to announce the execution of this Agreement in a form agreed to the other Party (such agreement not to be unreasonably, withheld, conditioned, or delayed) and (b) either Party may originate any such publicity, news release or other similar public announcement as may be required by Law or any listing or trading agreement concerning its publicly traded securities;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such event, the issuing Party shall still be required to consult with the other Party, whether or not named in such publicity, news release or other similar public announcement, at least [**] prior to its release (or such shorter period as may be reasonable under the circumstances) to allow the other Party to comment thereon;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if such non-issuing Party shall not have provided its consent to the issuing Party’s request for consent and/or consultation pursuant to the foregoing after [**] (or such shorter period as may be reasonable under the circumstances), then the issuing Party shall be deemed to have fulfilled its obligations pursuant to this </w:t>
      </w:r>
      <w:r>
        <w:rPr>
          <w:rFonts w:ascii="Times New Roman" w:cs="Times New Roman" w:eastAsia="Times New Roman" w:hAnsi="Times New Roman"/>
          <w:sz w:val="21"/>
          <w:szCs w:val="21"/>
          <w:u w:val="single" w:color="auto"/>
          <w:color w:val="auto"/>
        </w:rPr>
        <w:t>Section 4.3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Public Announcement</w:t>
      </w:r>
      <w:r>
        <w:rPr>
          <w:rFonts w:ascii="Times New Roman" w:cs="Times New Roman" w:eastAsia="Times New Roman" w:hAnsi="Times New Roman"/>
          <w:sz w:val="21"/>
          <w:szCs w:val="21"/>
          <w:color w:val="auto"/>
        </w:rPr>
        <w:t>) and shall be free to issue such publicity, news release or other similar public announcement, and each Party may each disclose to Third Parties any information contained in a previously approved press release without the need for further approval by the other Party.</w:t>
      </w:r>
    </w:p>
    <w:p>
      <w:pPr>
        <w:spacing w:after="0" w:line="178" w:lineRule="exact"/>
        <w:rPr>
          <w:rFonts w:ascii="Times New Roman" w:cs="Times New Roman" w:eastAsia="Times New Roman" w:hAnsi="Times New Roman"/>
          <w:sz w:val="21"/>
          <w:szCs w:val="21"/>
          <w:color w:val="auto"/>
        </w:rPr>
      </w:pPr>
    </w:p>
    <w:p>
      <w:pPr>
        <w:jc w:val="both"/>
        <w:ind w:firstLine="1505"/>
        <w:spacing w:after="0" w:line="233" w:lineRule="auto"/>
        <w:tabs>
          <w:tab w:leader="none" w:pos="203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following the Closing, if Buyer intends to issue any such public news release or other similar public announcement or disclosure, whether written or oral, with respect to (i) the achievement of any Development and Regulatory Milestone Event or Commercial Milestone Event, (ii) disclosure of top line data from a study conducted by Buyer or its Affiliates or (Sub)licensees that is intended to support initial regulatory approval of, or a new indication for, any Product, (iii) unknown adverse events related to any Products, (iv) the receipt of Regulatory Approval of any Product, (v) the commercial launch of any Product, or (vi) ceasing all development and commercialization activities related to any Product, in each case, solely with respect to the development, commercialization, or other exploitation of a Product in any of [**], then, in each case, Buyer will, to the extent legally permitted, notify Seller of such disclosure at least [**] prior to the anticipated date of such public disclosure. Notwithstanding the foregoing, Buyer will not be required to notify Seller of any public disclosure (A) set forth in any ordinary course registration statement, form, report, schedule, statement, exhibit or other document (including exhibits, financial statements and schedules thereto and all other information incorporated therein and amendments and supplements thereto, but for clarity excluding reports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7" w:name="page178"/>
    <w:bookmarkEnd w:id="177"/>
    <w:p>
      <w:pPr>
        <w:spacing w:after="0" w:line="258" w:lineRule="auto"/>
        <w:rPr>
          <w:sz w:val="20"/>
          <w:szCs w:val="20"/>
          <w:color w:val="auto"/>
        </w:rPr>
      </w:pPr>
      <w:r>
        <w:rPr>
          <w:rFonts w:ascii="Times New Roman" w:cs="Times New Roman" w:eastAsia="Times New Roman" w:hAnsi="Times New Roman"/>
          <w:sz w:val="22"/>
          <w:szCs w:val="22"/>
          <w:color w:val="auto"/>
        </w:rPr>
        <w:t>on form 8-K) required to be filed or furnished by Buyer to the Securities and Exchange Commission pursuant to the Exchange Act or the Securities Act of 1933, as amended, or (B) contained in a previously approved public announcement or disclosure.</w:t>
      </w:r>
    </w:p>
    <w:p>
      <w:pPr>
        <w:spacing w:after="0" w:line="158" w:lineRule="exact"/>
        <w:rPr>
          <w:sz w:val="20"/>
          <w:szCs w:val="20"/>
          <w:color w:val="auto"/>
        </w:rPr>
      </w:pPr>
    </w:p>
    <w:p>
      <w:pPr>
        <w:jc w:val="both"/>
        <w:ind w:firstLine="1505"/>
        <w:spacing w:after="0" w:line="236" w:lineRule="auto"/>
        <w:tabs>
          <w:tab w:leader="none" w:pos="203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Buyer or Seller, based on the advice of its counsel, determines that this Agreement, or any of the Ancillary Agreements, must be publicly filed with a Governmental Authority, then Seller or Buyer, prior to making any such filing, shall provide the other Party and its counsel with a redacted version of this Agreement (and any other Ancillary Agreement) which it intends to file, and will give due consideration to any comments provided by such Party or its counsel and use commercially reasonable efforts to ensure the confidential treatment by such Governmental Authority of those sections specified by such Party or its counsel.</w:t>
      </w:r>
    </w:p>
    <w:p>
      <w:pPr>
        <w:spacing w:after="0" w:line="18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Section 4.4</w:t>
      </w:r>
      <w:r>
        <w:rPr>
          <w:rFonts w:ascii="Times New Roman" w:cs="Times New Roman" w:eastAsia="Times New Roman" w:hAnsi="Times New Roman"/>
          <w:sz w:val="21"/>
          <w:szCs w:val="21"/>
          <w:u w:val="single" w:color="auto"/>
          <w:color w:val="auto"/>
        </w:rPr>
        <w:t>Shared Contracts</w:t>
      </w:r>
      <w:r>
        <w:rPr>
          <w:rFonts w:ascii="Times New Roman" w:cs="Times New Roman" w:eastAsia="Times New Roman" w:hAnsi="Times New Roman"/>
          <w:sz w:val="21"/>
          <w:szCs w:val="21"/>
          <w:color w:val="auto"/>
        </w:rPr>
        <w:t xml:space="preserve">. The Parties desire for the benefit of Seller and Buyer, respectively, to have and obtain the rights and benefits under each Shared Contract set forth on Section 9.1(b)(vi) of the Seller Disclosure Letter. Following the Closing, Buyer shall elect what Shared Contracts it desires to obtain the rights and benefits under, including, to the extent permissible and practicable, through partial assignment of the applicable portions of such Shared Contracts, and the Parties shall cooperate with each other to provide Seller and the Selling Affiliates and Buyer and its Affiliates with their applicable rights and benefits under each such Shared Contract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by effecting a partial assignment of such Shared Contract;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Seller will use commercially reasonable efforts to obtain any required counterparty consent to effect such partial assignment, or, if unable to effect such partial assignment,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by assisting Buyer in entering into a new Contract or Contracts with the applicable Third Party on substantially similar terms (a “</w:t>
      </w:r>
      <w:r>
        <w:rPr>
          <w:rFonts w:ascii="Times New Roman" w:cs="Times New Roman" w:eastAsia="Times New Roman" w:hAnsi="Times New Roman"/>
          <w:sz w:val="21"/>
          <w:szCs w:val="21"/>
          <w:b w:val="1"/>
          <w:bCs w:val="1"/>
          <w:color w:val="auto"/>
        </w:rPr>
        <w:t>Separated Contract</w:t>
      </w:r>
      <w:r>
        <w:rPr>
          <w:rFonts w:ascii="Times New Roman" w:cs="Times New Roman" w:eastAsia="Times New Roman" w:hAnsi="Times New Roman"/>
          <w:sz w:val="21"/>
          <w:szCs w:val="21"/>
          <w:color w:val="auto"/>
        </w:rPr>
        <w:t>”). Without limiting the foregoing, the Parties will reasonably cooperate to contact the Third Party counterparty to (A) each Shared Contract to the extent it is still in effect and has not been concluded with respect to the Transferred Assets, within [**] following the Closing, and (B) any other Shared Contract, including any Shared Contract that is no longer in effect or has been concluded with respect to the Transferred Assets, to the extent requested by Buyer, within [**] following Seller’s receipt of such request, in each case, to notify such Third Party of Buyer’s purchase of the Transferred Assets and to notify such Third Party that it may interact with the Buyer regarding such Shared Contract to the extent it relates to the Acquired Molecules, Acquired Products, or Transferred Assets, and only with respect to the applicable parts and provisions of such Shared Contract. Buyer acknowledges that, with respect to subclause (B) in the foregoing sentence, reasonable cooperation by Seller may be limited by the availability of current contact information for any applicable Third Party. The Third Party costs of entering into a new Contract or Contract(s) shall be borne by Buyer. If any Shared Contract set forth on Section 9.1(b)(vi) of the Seller Disclosure Letter cannot be partially assigned or separated into a Separated Contract following Closing, then Seller and Buyer shall, and shall cause each of their respective Affiliates to, use their commercially reasonable efforts to cause, for the period after the Closing until such Shared Contract is separated into a Separated Contract, (i) the rights and benefits under each Shared Contract to the extent relating to the Business to be enjoyed by Buyer; (ii) the liabilities under each Shared Contract to the extent relating to the Business after Closing to be borne by Buyer; (iii) the rights and benefits under each Shared Contract to the extent relating to any business other than the Business to be enjoyed by Seller; and (iv) the liabilities under each Shared Contract to the extent relating to either (a) the Business before Closing or (b) any business other than the Business, in each case, to be borne by Seller. If and to the extent that a Shared Contract set forth on Section 9.1(b)(vi) of the Seller Disclosure Letter contains a separate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8" w:name="page179"/>
    <w:bookmarkEnd w:id="178"/>
    <w:p>
      <w:pPr>
        <w:jc w:val="both"/>
        <w:spacing w:after="0" w:line="239" w:lineRule="auto"/>
        <w:rPr>
          <w:sz w:val="20"/>
          <w:szCs w:val="20"/>
          <w:color w:val="auto"/>
        </w:rPr>
      </w:pPr>
      <w:r>
        <w:rPr>
          <w:rFonts w:ascii="Times New Roman" w:cs="Times New Roman" w:eastAsia="Times New Roman" w:hAnsi="Times New Roman"/>
          <w:sz w:val="22"/>
          <w:szCs w:val="22"/>
          <w:color w:val="auto"/>
        </w:rPr>
        <w:t>and severable agreement, statement of work, purchase order, or other distinct component that (a) relates solely to the Acquired Molecules, Acquired Products, or Transferred Assets and (b) is capable of being independently assigned without breaching or otherwise affecting the remaining portions of such Shared Contract, then, upon the valid assignment of such separate and severable portion to Buyer, such portion shall be deemed a Transferred Contract for all purposes hereunder.</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Section 4.5</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From time to time after the Closing Date, at the reasonable request of a Party, without further consideration and at the expense of the Party so requesting, the other Party shall execute and deliver to such requesting Party, or shall cause to be executed and delivered to such requesting Party, such additional instruments or documents, and shall take or cause to be taken such other action, as such requesting Party may reasonably request in order to consummate more effectively the transactions contemplated by this Agreement. Seller shall, execute and deliver, or cause to be executed and delivered, to Buyer any confirmatory assignment, invention assignment, inventor’s declaration, or other documentation, and provide, or cause to be provided, any good faith testimony (by affidavit, declaration, or in person), in each case, as reasonably necessary or desirable to complete the chain-of-title of the Transferred IP to Seller and then, in accordance with to this Agreement, to Buyer and to otherwise perfect, defend, or enforce Buyer’s rights, title, and interests in and to the Transferred IP (including all inventions claimed or disclosed in the Transferred Patent Rights).</w:t>
      </w:r>
    </w:p>
    <w:p>
      <w:pPr>
        <w:spacing w:after="0" w:line="17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4.6</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coverage under all insurance policies related to the Business and arranged or maintained by Seller or the Selling Affiliates following Closing is only for the benefit of Seller and the Selling Affiliates, and not for the benefit of Buyer or the Business. As of the Closing Date, Buyer agrees to arrange for its own insurance policies with respect to the Business and agrees not to seek, through any means, to benefit from any of Seller’s or the Selling Affiliates’ insurance policies which may provide coverage for claims relating in any way to the Business following the Closing.</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Section 4.7</w:t>
      </w:r>
      <w:r>
        <w:rPr>
          <w:rFonts w:ascii="Times New Roman" w:cs="Times New Roman" w:eastAsia="Times New Roman" w:hAnsi="Times New Roman"/>
          <w:sz w:val="21"/>
          <w:szCs w:val="21"/>
          <w:u w:val="single" w:color="auto"/>
          <w:color w:val="auto"/>
        </w:rPr>
        <w:t>Wrong Pockets</w:t>
      </w:r>
      <w:r>
        <w:rPr>
          <w:rFonts w:ascii="Times New Roman" w:cs="Times New Roman" w:eastAsia="Times New Roman" w:hAnsi="Times New Roman"/>
          <w:sz w:val="21"/>
          <w:szCs w:val="21"/>
          <w:color w:val="auto"/>
        </w:rPr>
        <w:t>. For a period of up to [**] after the Closing Date, if either Buyer or Seller becomes aware that</w:t>
      </w:r>
    </w:p>
    <w:p>
      <w:pPr>
        <w:spacing w:after="0" w:line="26" w:lineRule="exact"/>
        <w:rPr>
          <w:sz w:val="20"/>
          <w:szCs w:val="20"/>
          <w:color w:val="auto"/>
        </w:rPr>
      </w:pPr>
    </w:p>
    <w:p>
      <w:pPr>
        <w:jc w:val="both"/>
        <w:ind w:firstLine="8"/>
        <w:spacing w:after="0" w:line="244" w:lineRule="auto"/>
        <w:tabs>
          <w:tab w:leader="none" w:pos="383"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of the Transferred Assets has not been transferred to Buyer, (x) any of the Excluded Assets has been transferred to Buyer, (y) any Contract relating solely to the operation and conduct of the Business, the development, manufacture, commercialization, or other exploitation of any Acquired Molecule or Acquired Product, or any of the Transferred Assets was not included in Section 9.1(a)(vi) of the Seller Disclosure Letter, or (z) any Shared Contract that has not been, or attempted to be, assigned-in-part to Buyer or separated into a Separated Contract, in each case, it shall promptly notify the other and the Parties shall, as soon as reasonably practicable and, subject to </w:t>
      </w:r>
      <w:r>
        <w:rPr>
          <w:rFonts w:ascii="Times New Roman" w:cs="Times New Roman" w:eastAsia="Times New Roman" w:hAnsi="Times New Roman"/>
          <w:sz w:val="21"/>
          <w:szCs w:val="21"/>
          <w:u w:val="single" w:color="auto"/>
          <w:color w:val="auto"/>
        </w:rPr>
        <w:t>Section 1.1(e)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Business Transfer Documents</w:t>
      </w:r>
      <w:r>
        <w:rPr>
          <w:rFonts w:ascii="Times New Roman" w:cs="Times New Roman" w:eastAsia="Times New Roman" w:hAnsi="Times New Roman"/>
          <w:sz w:val="21"/>
          <w:szCs w:val="21"/>
          <w:color w:val="auto"/>
        </w:rPr>
        <w:t>), cause such property to be:</w:t>
      </w:r>
    </w:p>
    <w:p>
      <w:pPr>
        <w:spacing w:after="0" w:line="176" w:lineRule="exact"/>
        <w:rPr>
          <w:rFonts w:ascii="Times New Roman" w:cs="Times New Roman" w:eastAsia="Times New Roman" w:hAnsi="Times New Roman"/>
          <w:sz w:val="21"/>
          <w:szCs w:val="21"/>
          <w:color w:val="auto"/>
        </w:rPr>
      </w:pPr>
    </w:p>
    <w:p>
      <w:pPr>
        <w:ind w:firstLine="1505"/>
        <w:spacing w:after="0" w:line="258" w:lineRule="auto"/>
        <w:tabs>
          <w:tab w:leader="none" w:pos="2036"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written request of the Buyer, and with any necessary prior Third Party consent or approval, transferred to Buyer, in the case of any Transferred Asset that was not transferred to Buyer at the Closing;</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any necessary prior Third Party consent or approval, transferred to Seller, in the case of any Excluded Asset that was transferred to Buyer at or after the Closing;</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9" w:name="page180"/>
    <w:bookmarkEnd w:id="179"/>
    <w:p>
      <w:pPr>
        <w:ind w:firstLine="1505"/>
        <w:spacing w:after="0" w:line="258" w:lineRule="auto"/>
        <w:tabs>
          <w:tab w:leader="none" w:pos="203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written request of the Buyer, and with any necessary prior Third Party consent or approval, transferred to Buyer, in the case of any Contracts described in clause (y) above; or</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written request of the Buyer, in the case of Contracts described in clause (z) above, assigned-in-part to Buyer or separated into a Separated Contract, in each case, in accordance with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Shared Contracts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Section 4.8</w:t>
      </w:r>
      <w:r>
        <w:rPr>
          <w:rFonts w:ascii="Times New Roman" w:cs="Times New Roman" w:eastAsia="Times New Roman" w:hAnsi="Times New Roman"/>
          <w:sz w:val="21"/>
          <w:szCs w:val="21"/>
          <w:u w:val="single" w:color="auto"/>
          <w:color w:val="auto"/>
        </w:rPr>
        <w:t>Transfer Plan; Transition Assistance</w:t>
      </w:r>
      <w:r>
        <w:rPr>
          <w:rFonts w:ascii="Times New Roman" w:cs="Times New Roman" w:eastAsia="Times New Roman" w:hAnsi="Times New Roman"/>
          <w:sz w:val="21"/>
          <w:szCs w:val="21"/>
          <w:color w:val="auto"/>
        </w:rPr>
        <w:t xml:space="preserve">. Following the Closing, Seller shall (a) conduct certain transfer and transition activities to transfer the Transferred Assets to and transition the Acquired Program to Buyer as set forth in the transfer plan on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Transfer Plan</w:t>
      </w:r>
      <w:r>
        <w:rPr>
          <w:rFonts w:ascii="Times New Roman" w:cs="Times New Roman" w:eastAsia="Times New Roman" w:hAnsi="Times New Roman"/>
          <w:sz w:val="21"/>
          <w:szCs w:val="21"/>
          <w:color w:val="auto"/>
        </w:rPr>
        <w:t>”), and (b) upon Buyer’s reasonable written request following Closing, provide reasonable assistance to Buyer and the other Buyer Parties in connection with understanding and using the Transferred Assets and conducting the Business, including making appropriate full-time employees of Seller available to assist Buyer or its designee from time to time as reasonably requested by Buyer (such assistance, the “</w:t>
      </w:r>
      <w:r>
        <w:rPr>
          <w:rFonts w:ascii="Times New Roman" w:cs="Times New Roman" w:eastAsia="Times New Roman" w:hAnsi="Times New Roman"/>
          <w:sz w:val="21"/>
          <w:szCs w:val="21"/>
          <w:b w:val="1"/>
          <w:bCs w:val="1"/>
          <w:color w:val="auto"/>
        </w:rPr>
        <w:t>Transition Assistance</w:t>
      </w:r>
      <w:r>
        <w:rPr>
          <w:rFonts w:ascii="Times New Roman" w:cs="Times New Roman" w:eastAsia="Times New Roman" w:hAnsi="Times New Roman"/>
          <w:sz w:val="21"/>
          <w:szCs w:val="21"/>
          <w:color w:val="auto"/>
        </w:rPr>
        <w:t>”). Seller shall provide Buyer with access to the Data Room for at least [**] following the Closing and allow Buyer to download all of the contents of the Data Room. If and to the extent Seller provides the Buyer Parties (i) more than [**] hours of Transition Assistance but not more than</w:t>
      </w:r>
    </w:p>
    <w:p>
      <w:pPr>
        <w:spacing w:after="0" w:line="4" w:lineRule="exact"/>
        <w:rPr>
          <w:sz w:val="20"/>
          <w:szCs w:val="20"/>
          <w:color w:val="auto"/>
        </w:rPr>
      </w:pPr>
    </w:p>
    <w:p>
      <w:pPr>
        <w:jc w:val="both"/>
        <w:ind w:firstLine="8"/>
        <w:spacing w:after="0" w:line="231" w:lineRule="auto"/>
        <w:tabs>
          <w:tab w:leader="none" w:pos="435"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hours of Transition Assistance, in the aggregate, pursuant to this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Transfer Plan; Transition Assistance</w:t>
      </w:r>
      <w:r>
        <w:rPr>
          <w:rFonts w:ascii="Times New Roman" w:cs="Times New Roman" w:eastAsia="Times New Roman" w:hAnsi="Times New Roman"/>
          <w:sz w:val="22"/>
          <w:szCs w:val="22"/>
          <w:color w:val="auto"/>
        </w:rPr>
        <w:t xml:space="preserve">), then Buyer will reimburse Seller for the cost of its employees’ performance of such additional Transition Assistance at [**], and (ii) more than [**] hours of Transition Assistance, in the aggregate, then Buyer will reimburse Seller for the cost of its employees’ performance of such additional Transition Assistance at the Hourly Rate. The total hours of Transition Assistance provided by Seller pursuant to this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Transfer Plan; Transition Assistance</w:t>
      </w:r>
      <w:r>
        <w:rPr>
          <w:rFonts w:ascii="Times New Roman" w:cs="Times New Roman" w:eastAsia="Times New Roman" w:hAnsi="Times New Roman"/>
          <w:sz w:val="22"/>
          <w:szCs w:val="22"/>
          <w:color w:val="auto"/>
        </w:rPr>
        <w:t xml:space="preserve">) shall not exceed [**] hours in the aggregate. If applicable, Seller shall invoice Buyer for any such additional Transition Assistance provided at [**] thereof, as applicable, and Buyer shall pay all such undisputed amounts within [**] after receipt of an applicable invoice from Seller. Notwithstanding anything herein to the contrary, Buyer shall reimburse Seller for any reasonable and documented out-of-pocket costs, including fees payable to consultants, that Seller incurs in connection with any Transition Assistance;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Seller shall not incur any such out-of- pocket costs without the prior written consent of Buyer; and provided further that any such services provided by consultants and reimbursed by Buyer will not count towards the hourly limits in the third sentence of this Section 4.8 (</w:t>
      </w:r>
      <w:r>
        <w:rPr>
          <w:rFonts w:ascii="Times New Roman" w:cs="Times New Roman" w:eastAsia="Times New Roman" w:hAnsi="Times New Roman"/>
          <w:sz w:val="22"/>
          <w:szCs w:val="22"/>
          <w:i w:val="1"/>
          <w:iCs w:val="1"/>
          <w:color w:val="auto"/>
        </w:rPr>
        <w:t>Transfer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Plan; Transition Assistance</w:t>
      </w:r>
      <w:r>
        <w:rPr>
          <w:rFonts w:ascii="Times New Roman" w:cs="Times New Roman" w:eastAsia="Times New Roman" w:hAnsi="Times New Roman"/>
          <w:sz w:val="22"/>
          <w:szCs w:val="22"/>
          <w:color w:val="auto"/>
        </w:rPr>
        <w:t>). Seller shall invoice Buyer for any such out-of-pocket costs, and Buyer shall pay all such undisputed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amounts within [**] after receipt of an applicable invoice from Seller. If any Know-How is created by or on behalf of Seller or any Selling Affiliate, solely or jointly, in the conduct of activities set forth in the Transfer Plan or otherwise pursuant to this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Transfer Plan; Transition Assistance</w:t>
      </w:r>
      <w:r>
        <w:rPr>
          <w:rFonts w:ascii="Times New Roman" w:cs="Times New Roman" w:eastAsia="Times New Roman" w:hAnsi="Times New Roman"/>
          <w:sz w:val="22"/>
          <w:szCs w:val="22"/>
          <w:color w:val="auto"/>
        </w:rPr>
        <w:t>), then, if such Know-How primarily relates to an Acquired Molecule or Acquired Product, such Know-How will be deemed to be Transferred Know-How for the purposes of this Agreement and will be owned by Buyer and, [**].</w:t>
      </w:r>
    </w:p>
    <w:p>
      <w:pPr>
        <w:spacing w:after="0" w:line="18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Section 4.9</w:t>
      </w:r>
      <w:r>
        <w:rPr>
          <w:rFonts w:ascii="Times New Roman" w:cs="Times New Roman" w:eastAsia="Times New Roman" w:hAnsi="Times New Roman"/>
          <w:sz w:val="21"/>
          <w:szCs w:val="21"/>
          <w:u w:val="single" w:color="auto"/>
          <w:color w:val="auto"/>
        </w:rPr>
        <w:t>License</w:t>
      </w:r>
      <w:r>
        <w:rPr>
          <w:rFonts w:ascii="Times New Roman" w:cs="Times New Roman" w:eastAsia="Times New Roman" w:hAnsi="Times New Roman"/>
          <w:sz w:val="21"/>
          <w:szCs w:val="21"/>
          <w:color w:val="auto"/>
        </w:rPr>
        <w:t>. Effective as of the Closing and subject to the terms, conditions, and provisions of this Agreement, Buyer hereby grants to Seller, and Seller hereby accepts, a non- transferable, non-exclusive license, with the right to grant sublicenses solely to Seller’s applicable Affiliates, under the Transferred Assets, solely for the purposes of during the applicable term of the Ancillary Agreements, performing Seller’s obligations under such Ancillary Agreements and under the Transfer Plan.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0" w:name="page181"/>
    <w:bookmarkEnd w:id="180"/>
    <w:p>
      <w:pPr>
        <w:ind w:left="760"/>
        <w:spacing w:after="0"/>
        <w:rPr>
          <w:sz w:val="20"/>
          <w:szCs w:val="20"/>
          <w:color w:val="auto"/>
        </w:rPr>
      </w:pPr>
      <w:r>
        <w:rPr>
          <w:rFonts w:ascii="Times New Roman" w:cs="Times New Roman" w:eastAsia="Times New Roman" w:hAnsi="Times New Roman"/>
          <w:sz w:val="22"/>
          <w:szCs w:val="22"/>
          <w:color w:val="auto"/>
        </w:rPr>
        <w:t>Section 4.10</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4.11</w:t>
      </w:r>
      <w:r>
        <w:rPr>
          <w:rFonts w:ascii="Times New Roman" w:cs="Times New Roman" w:eastAsia="Times New Roman" w:hAnsi="Times New Roman"/>
          <w:sz w:val="22"/>
          <w:szCs w:val="22"/>
          <w:u w:val="single" w:color="auto"/>
          <w:color w:val="auto"/>
        </w:rPr>
        <w:t>Payments from Third Parties; Correspondence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4" w:lineRule="auto"/>
        <w:tabs>
          <w:tab w:leader="none" w:pos="203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provided in any Ancillary Agreement, in the event that, on or after the Closing Date, either Party receives from a Third Party any payments or other funds due to the other pursuant to the terms of this Agreement or of any Ancillary Agreement, then the Party receiving such funds shall promptly forward such funds to the other Party. The Parties acknowledge and agree there is no right of offset regarding any such payments, and a Party may not withhold any such funds received from a Third Party for the account of the other Party in satisfaction of any claim or dispute pursuant to this Agreement or any Ancillary Agreement. For purposes of this Agreement, any payments or other funds received by Buyer or any of its Affiliates from a Third Party in respect of any Product(s) shall first be applied against any outstanding receivable held by Seller or any applicable Selling Affiliate in respect of such Product(s) for any period prior to Closing and only after all such receivables have been satisfied shall any payments or other funds received by Buyer or any of its Affiliates from a Third Party in respect of any Product(s) be deemed in respect of receivables for any period after the Closing.</w:t>
      </w:r>
    </w:p>
    <w:p>
      <w:pPr>
        <w:spacing w:after="0" w:line="179"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From and after the Closing until the [**] of the Closing Date, (i) Seller shall use commercially reasonable efforts to cause to be delivered to Buyer any mail or other communications received by Seller or any of the Selling Affiliates from any Person in respect of any Product with respect to the period after the Closing and (ii) Buyer shall use commercially reasonable efforts to cause to be delivered to Seller or its applicable Selling Affiliate any mail or other communications received by Buyer or its Affiliates from any Person either intended for Seller or any of the Selling Affiliates and not related to any Product or Transferred Asset or regarding any Product or Transferred Asset with respect to the period prior to the Closing. The provisions of this </w:t>
      </w:r>
      <w:r>
        <w:rPr>
          <w:rFonts w:ascii="Times New Roman" w:cs="Times New Roman" w:eastAsia="Times New Roman" w:hAnsi="Times New Roman"/>
          <w:sz w:val="21"/>
          <w:szCs w:val="21"/>
          <w:u w:val="single" w:color="auto"/>
          <w:color w:val="auto"/>
        </w:rPr>
        <w:t>Section 4.11(b)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Payments from Third Parties; Correspondence</w:t>
      </w:r>
      <w:r>
        <w:rPr>
          <w:rFonts w:ascii="Times New Roman" w:cs="Times New Roman" w:eastAsia="Times New Roman" w:hAnsi="Times New Roman"/>
          <w:sz w:val="21"/>
          <w:szCs w:val="21"/>
          <w:color w:val="auto"/>
        </w:rPr>
        <w:t>) are not intended to, and shall not be deemed to, constitute an authorization by any of Seller or Buyer to permit the other to accept service of process on its behalf and neither Seller nor Buyer are or shall be deemed to be the agent of the other for service of process purposes.</w:t>
      </w:r>
    </w:p>
    <w:p>
      <w:pPr>
        <w:spacing w:after="0" w:line="1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Section 4.12</w:t>
      </w:r>
      <w:r>
        <w:rPr>
          <w:rFonts w:ascii="Times New Roman" w:cs="Times New Roman" w:eastAsia="Times New Roman" w:hAnsi="Times New Roman"/>
          <w:sz w:val="22"/>
          <w:szCs w:val="22"/>
          <w:u w:val="single" w:color="auto"/>
          <w:color w:val="auto"/>
        </w:rPr>
        <w:t>Use of Trademarks</w:t>
      </w:r>
      <w:r>
        <w:rPr>
          <w:rFonts w:ascii="Times New Roman" w:cs="Times New Roman" w:eastAsia="Times New Roman" w:hAnsi="Times New Roman"/>
          <w:sz w:val="22"/>
          <w:szCs w:val="22"/>
          <w:color w:val="auto"/>
        </w:rPr>
        <w:t>. Neither Party nor any of its Affiliates shall use in any manner any Trademark or trade dress of the other Party or any of its Affiliates.</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4.13</w:t>
      </w:r>
      <w:r>
        <w:rPr>
          <w:rFonts w:ascii="Times New Roman" w:cs="Times New Roman" w:eastAsia="Times New Roman" w:hAnsi="Times New Roman"/>
          <w:sz w:val="22"/>
          <w:szCs w:val="22"/>
          <w:u w:val="single" w:color="auto"/>
          <w:color w:val="auto"/>
        </w:rPr>
        <w:t>Mutual Non-Solicitation</w:t>
      </w:r>
      <w:r>
        <w:rPr>
          <w:rFonts w:ascii="Times New Roman" w:cs="Times New Roman" w:eastAsia="Times New Roman" w:hAnsi="Times New Roman"/>
          <w:sz w:val="22"/>
          <w:szCs w:val="22"/>
          <w:color w:val="auto"/>
        </w:rPr>
        <w:t xml:space="preserve">. From and after the Closing Date, Seller and Buyer each agree that they shall not, and they shall each cause their respective Subsidiaries and Affiliates to not, for a period of [**] after the Closing Date, directly or indirectly, encourage, induce, or solicit (a) in the case of Seller, any employee of Buyer to leave employment with Buyer or any of its Affiliates or (b) in the case of Buyer, any employee of Seller or any of the Selling Affiliates who as of the Closing Date provided services to the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this clause shall not preclude Seller, Buyer or any of their respective Subsidiaries or Affiliates from (i) posting a general solicitation through a public medium or general or mass mailing by or on behalf of Seller, Buyer or any of their respective Subsidiaries or Affiliates, as applicable, that is not targeted at employees of such other Party or (ii) soliciting any former employee of such other Party.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1" w:name="page182"/>
    <w:bookmarkEnd w:id="181"/>
    <w:p>
      <w:pPr>
        <w:ind w:left="760"/>
        <w:spacing w:after="0"/>
        <w:rPr>
          <w:sz w:val="20"/>
          <w:szCs w:val="20"/>
          <w:color w:val="auto"/>
        </w:rPr>
      </w:pPr>
      <w:r>
        <w:rPr>
          <w:rFonts w:ascii="Times New Roman" w:cs="Times New Roman" w:eastAsia="Times New Roman" w:hAnsi="Times New Roman"/>
          <w:sz w:val="22"/>
          <w:szCs w:val="22"/>
          <w:color w:val="auto"/>
        </w:rPr>
        <w:t>Section 4.14</w:t>
      </w:r>
      <w:r>
        <w:rPr>
          <w:rFonts w:ascii="Times New Roman" w:cs="Times New Roman" w:eastAsia="Times New Roman" w:hAnsi="Times New Roman"/>
          <w:sz w:val="22"/>
          <w:szCs w:val="22"/>
          <w:u w:val="single" w:color="auto"/>
          <w:color w:val="auto"/>
        </w:rPr>
        <w:t>Competition</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firstLine="1505"/>
        <w:spacing w:after="0" w:line="246" w:lineRule="auto"/>
        <w:tabs>
          <w:tab w:leader="none" w:pos="203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acknowledges and agrees that, subject to the remainder of this </w:t>
      </w:r>
      <w:r>
        <w:rPr>
          <w:rFonts w:ascii="Times New Roman" w:cs="Times New Roman" w:eastAsia="Times New Roman" w:hAnsi="Times New Roman"/>
          <w:sz w:val="22"/>
          <w:szCs w:val="22"/>
          <w:u w:val="single" w:color="auto"/>
          <w:color w:val="auto"/>
        </w:rPr>
        <w:t>Section 4.14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Competition</w:t>
      </w:r>
      <w:r>
        <w:rPr>
          <w:rFonts w:ascii="Times New Roman" w:cs="Times New Roman" w:eastAsia="Times New Roman" w:hAnsi="Times New Roman"/>
          <w:sz w:val="22"/>
          <w:szCs w:val="22"/>
          <w:color w:val="auto"/>
        </w:rPr>
        <w:t>), during the Exclusive Period, Seller and its Affiliates shall not, directly or indirectly, by itself or for or with any Third Party, research, develop, manufacture, or commercialize [**], in the Field in the Territory.</w:t>
      </w:r>
    </w:p>
    <w:p>
      <w:pPr>
        <w:spacing w:after="0" w:line="167" w:lineRule="exact"/>
        <w:rPr>
          <w:rFonts w:ascii="Times New Roman" w:cs="Times New Roman" w:eastAsia="Times New Roman" w:hAnsi="Times New Roman"/>
          <w:sz w:val="22"/>
          <w:szCs w:val="22"/>
          <w:color w:val="auto"/>
        </w:rPr>
      </w:pPr>
    </w:p>
    <w:p>
      <w:pPr>
        <w:jc w:val="both"/>
        <w:ind w:right="20" w:firstLine="1505"/>
        <w:spacing w:after="0" w:line="246" w:lineRule="auto"/>
        <w:tabs>
          <w:tab w:leader="none" w:pos="203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hereby acknowledge and agree that </w:t>
      </w:r>
      <w:r>
        <w:rPr>
          <w:rFonts w:ascii="Times New Roman" w:cs="Times New Roman" w:eastAsia="Times New Roman" w:hAnsi="Times New Roman"/>
          <w:sz w:val="22"/>
          <w:szCs w:val="22"/>
          <w:u w:val="single" w:color="auto"/>
          <w:color w:val="auto"/>
        </w:rPr>
        <w:t>Section 4.14(a)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Competition</w:t>
      </w:r>
      <w:r>
        <w:rPr>
          <w:rFonts w:ascii="Times New Roman" w:cs="Times New Roman" w:eastAsia="Times New Roman" w:hAnsi="Times New Roman"/>
          <w:sz w:val="22"/>
          <w:szCs w:val="22"/>
          <w:color w:val="auto"/>
        </w:rPr>
        <w:t xml:space="preserve">) shall not apply to any activities intended by Seller or any of its Affiliates to ensure its compliance with this </w:t>
      </w:r>
      <w:r>
        <w:rPr>
          <w:rFonts w:ascii="Times New Roman" w:cs="Times New Roman" w:eastAsia="Times New Roman" w:hAnsi="Times New Roman"/>
          <w:sz w:val="22"/>
          <w:szCs w:val="22"/>
          <w:u w:val="single" w:color="auto"/>
          <w:color w:val="auto"/>
        </w:rPr>
        <w:t>Section 4.14</w:t>
      </w:r>
      <w:r>
        <w:rPr>
          <w:rFonts w:ascii="Times New Roman" w:cs="Times New Roman" w:eastAsia="Times New Roman" w:hAnsi="Times New Roman"/>
          <w:sz w:val="22"/>
          <w:szCs w:val="22"/>
          <w:color w:val="auto"/>
        </w:rPr>
        <w:t xml:space="preserve"> (Competition) (e.g., counter screening).</w:t>
      </w:r>
    </w:p>
    <w:p>
      <w:pPr>
        <w:spacing w:after="0" w:line="167"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u w:val="single" w:color="auto"/>
          <w:color w:val="auto"/>
        </w:rPr>
        <w:t>Section 4.14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Competition</w:t>
      </w:r>
      <w:r>
        <w:rPr>
          <w:rFonts w:ascii="Times New Roman" w:cs="Times New Roman" w:eastAsia="Times New Roman" w:hAnsi="Times New Roman"/>
          <w:sz w:val="22"/>
          <w:szCs w:val="22"/>
          <w:color w:val="auto"/>
        </w:rPr>
        <w:t xml:space="preserve">), if a Change of Control occurs with respect to Seller or any of its Affiliates with an Acquirer, and the Acquirer (or any of such Acquirer’s successors or assigns, other than Seller and its Affiliates as of the Change of Control) [**] a program or product (or rights thereto) that would otherwise violate </w:t>
      </w:r>
      <w:r>
        <w:rPr>
          <w:rFonts w:ascii="Times New Roman" w:cs="Times New Roman" w:eastAsia="Times New Roman" w:hAnsi="Times New Roman"/>
          <w:sz w:val="22"/>
          <w:szCs w:val="22"/>
          <w:u w:val="single" w:color="auto"/>
          <w:color w:val="auto"/>
        </w:rPr>
        <w:t>Section 4.14(a)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Competition</w:t>
      </w:r>
      <w:r>
        <w:rPr>
          <w:rFonts w:ascii="Times New Roman" w:cs="Times New Roman" w:eastAsia="Times New Roman" w:hAnsi="Times New Roman"/>
          <w:sz w:val="22"/>
          <w:szCs w:val="22"/>
          <w:color w:val="auto"/>
        </w:rPr>
        <w:t>) (each, an “</w:t>
      </w:r>
      <w:r>
        <w:rPr>
          <w:rFonts w:ascii="Times New Roman" w:cs="Times New Roman" w:eastAsia="Times New Roman" w:hAnsi="Times New Roman"/>
          <w:sz w:val="22"/>
          <w:szCs w:val="22"/>
          <w:b w:val="1"/>
          <w:bCs w:val="1"/>
          <w:color w:val="auto"/>
        </w:rPr>
        <w:t>Seller COC Program</w:t>
      </w:r>
      <w:r>
        <w:rPr>
          <w:rFonts w:ascii="Times New Roman" w:cs="Times New Roman" w:eastAsia="Times New Roman" w:hAnsi="Times New Roman"/>
          <w:sz w:val="22"/>
          <w:szCs w:val="22"/>
          <w:color w:val="auto"/>
        </w:rPr>
        <w:t xml:space="preserve">”), then (i) </w:t>
      </w:r>
      <w:r>
        <w:rPr>
          <w:rFonts w:ascii="Times New Roman" w:cs="Times New Roman" w:eastAsia="Times New Roman" w:hAnsi="Times New Roman"/>
          <w:sz w:val="22"/>
          <w:szCs w:val="22"/>
          <w:u w:val="single" w:color="auto"/>
          <w:color w:val="auto"/>
        </w:rPr>
        <w:t>Section 4.14(a)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Competition</w:t>
      </w:r>
      <w:r>
        <w:rPr>
          <w:rFonts w:ascii="Times New Roman" w:cs="Times New Roman" w:eastAsia="Times New Roman" w:hAnsi="Times New Roman"/>
          <w:sz w:val="22"/>
          <w:szCs w:val="22"/>
          <w:color w:val="auto"/>
        </w:rPr>
        <w:t xml:space="preserve">) will not apply with respect to such Seller COC Program, and (ii) such Third Party, or any of such Third Party’s Affiliates or any successors or assigns of such Third Party or such Third Party’s Affiliates, as applicable, will be permitted to pursue, and continue such Seller COC Program after such Change of Control and such pursuit and continuation will not constitute a violation of </w:t>
      </w:r>
      <w:r>
        <w:rPr>
          <w:rFonts w:ascii="Times New Roman" w:cs="Times New Roman" w:eastAsia="Times New Roman" w:hAnsi="Times New Roman"/>
          <w:sz w:val="22"/>
          <w:szCs w:val="22"/>
          <w:u w:val="single" w:color="auto"/>
          <w:color w:val="auto"/>
        </w:rPr>
        <w:t>Section 4.14(a)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Competition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Third Party or any of such Third Party’s Affiliates (including Seller and Selling Affiliates) or any or any successors or assigns of such Third Party or such Third Party’s Affiliates, as applicable, will (A) not use any Transferred Know-How or other confidential information of Buyer or the Buyer Parties, or otherwise practice, use, or exploit any Transferred Assets in connection with such Seller COC Program and (B) Segregate the Seller COC Program from the Transferred Assets.</w:t>
      </w:r>
    </w:p>
    <w:p>
      <w:pPr>
        <w:spacing w:after="0" w:line="184"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notwithstanding </w:t>
      </w:r>
      <w:r>
        <w:rPr>
          <w:rFonts w:ascii="Times New Roman" w:cs="Times New Roman" w:eastAsia="Times New Roman" w:hAnsi="Times New Roman"/>
          <w:sz w:val="22"/>
          <w:szCs w:val="22"/>
          <w:u w:val="single" w:color="auto"/>
          <w:color w:val="auto"/>
        </w:rPr>
        <w:t>Section 4.14(a)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Competition</w:t>
      </w:r>
      <w:r>
        <w:rPr>
          <w:rFonts w:ascii="Times New Roman" w:cs="Times New Roman" w:eastAsia="Times New Roman" w:hAnsi="Times New Roman"/>
          <w:sz w:val="22"/>
          <w:szCs w:val="22"/>
          <w:color w:val="auto"/>
        </w:rPr>
        <w:t>), if (i) Seller or its Affiliate acquires a Third Party (by merger, sale, consolidation, reorganization, or otherwise) so that such Third Party becomes an Affiliate over which Seller or its Affiliate has control, or (ii) Seller or its Affiliate acquires all or substantially all of the assets of a Third Party (including any subsidiaries or divisions thereof) (each of (i) and (ii), a “</w:t>
      </w:r>
      <w:r>
        <w:rPr>
          <w:rFonts w:ascii="Times New Roman" w:cs="Times New Roman" w:eastAsia="Times New Roman" w:hAnsi="Times New Roman"/>
          <w:sz w:val="22"/>
          <w:szCs w:val="22"/>
          <w:b w:val="1"/>
          <w:bCs w:val="1"/>
          <w:color w:val="auto"/>
        </w:rPr>
        <w:t>Seller Acquisition</w:t>
      </w:r>
      <w:r>
        <w:rPr>
          <w:rFonts w:ascii="Times New Roman" w:cs="Times New Roman" w:eastAsia="Times New Roman" w:hAnsi="Times New Roman"/>
          <w:sz w:val="22"/>
          <w:szCs w:val="22"/>
          <w:color w:val="auto"/>
        </w:rPr>
        <w:t xml:space="preserve">”), and, in each case, the Third Party (or any of such Third Party’s Affiliates or any successors or assigns of such Third Party or such Third Party’s Affiliates, other than Seller and its Affiliates as of the Seller Acquisition) already has, or the acquired assets contain, as applicable, a program or product that existed prior to the Seller Acquisition that would otherwise violate </w:t>
      </w:r>
      <w:r>
        <w:rPr>
          <w:rFonts w:ascii="Times New Roman" w:cs="Times New Roman" w:eastAsia="Times New Roman" w:hAnsi="Times New Roman"/>
          <w:sz w:val="22"/>
          <w:szCs w:val="22"/>
          <w:u w:val="single" w:color="auto"/>
          <w:color w:val="auto"/>
        </w:rPr>
        <w:t>Section 4.14(a)</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color w:val="auto"/>
        </w:rPr>
        <w:t>Seller Acquisition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Program</w:t>
      </w:r>
      <w:r>
        <w:rPr>
          <w:rFonts w:ascii="Times New Roman" w:cs="Times New Roman" w:eastAsia="Times New Roman" w:hAnsi="Times New Roman"/>
          <w:sz w:val="22"/>
          <w:szCs w:val="22"/>
          <w:color w:val="auto"/>
        </w:rPr>
        <w:t>”), then Seller or such Affiliate will elect whether to (A) divest its rights to such Seller Acquisition Program, or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cease the development or commercialization of such Seller Acquisition Program, and will provide Buyer written notice of the existence of such Seller Acquisition Program and such decision within [**] after the closing of such Seller Acquisition. If Seller provides notice as described in clause (A) of the preceding sentence, then Seller, and its Affiliates if applicable, will divest such Seller Acquisition Program within [**] after the closing of the applicable Seller Acquisition, and if Seller provides notice that it will terminate such Seller Acquisition Program as described in clause (B) of the preceding sentence, then Seller, and its Affiliates if applicable, will (1) cease the development and commercialization of such Seller Acquisition Program as soon as reasonably practicable and in any event within [**] of the closing of the applicable Seller Acquisition, giving due consideration to ethical concerns and requirements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2" w:name="page183"/>
    <w:bookmarkEnd w:id="182"/>
    <w:p>
      <w:pPr>
        <w:jc w:val="both"/>
        <w:spacing w:after="0" w:line="239" w:lineRule="auto"/>
        <w:rPr>
          <w:sz w:val="20"/>
          <w:szCs w:val="20"/>
          <w:color w:val="auto"/>
        </w:rPr>
      </w:pPr>
      <w:r>
        <w:rPr>
          <w:rFonts w:ascii="Times New Roman" w:cs="Times New Roman" w:eastAsia="Times New Roman" w:hAnsi="Times New Roman"/>
          <w:sz w:val="22"/>
          <w:szCs w:val="22"/>
          <w:color w:val="auto"/>
        </w:rPr>
        <w:t>under applicable Law and any agreements with Third Parties and (2) until such Seller Acquisition Program can be divested or terminated, (x) not use any Transferred Know-How or other confidential information of Buyer or the Buyer Parties, or otherwise practice, use, or exploit any Transferred Assets in connection with such Seller Acquisition Program, and (y) Segregate the Seller Acquisition Program from the Transferred Assets.</w:t>
      </w:r>
    </w:p>
    <w:p>
      <w:pPr>
        <w:spacing w:after="0" w:line="176" w:lineRule="exact"/>
        <w:rPr>
          <w:sz w:val="20"/>
          <w:szCs w:val="20"/>
          <w:color w:val="auto"/>
        </w:rPr>
      </w:pPr>
    </w:p>
    <w:p>
      <w:pPr>
        <w:jc w:val="both"/>
        <w:ind w:firstLine="1505"/>
        <w:spacing w:after="0" w:line="235" w:lineRule="auto"/>
        <w:tabs>
          <w:tab w:leader="none" w:pos="203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restrictions set forth in </w:t>
      </w:r>
      <w:r>
        <w:rPr>
          <w:rFonts w:ascii="Times New Roman" w:cs="Times New Roman" w:eastAsia="Times New Roman" w:hAnsi="Times New Roman"/>
          <w:sz w:val="22"/>
          <w:szCs w:val="22"/>
          <w:u w:val="single" w:color="auto"/>
          <w:color w:val="auto"/>
        </w:rPr>
        <w:t>Section 4.14(a)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Competition</w:t>
      </w:r>
      <w:r>
        <w:rPr>
          <w:rFonts w:ascii="Times New Roman" w:cs="Times New Roman" w:eastAsia="Times New Roman" w:hAnsi="Times New Roman"/>
          <w:sz w:val="22"/>
          <w:szCs w:val="22"/>
          <w:color w:val="auto"/>
        </w:rPr>
        <w:t xml:space="preserve">) shall no longer apply to Seller and its Affiliates upon the earliest to occur of (i) Buyer’s public announcement that it is permanently abandoning all development and commercialization of all Products, and (ii) Seller’s receipt of written notice from Buyer that, consistent with Buyer’s use of Commercially Reasonable Efforts, Buyer has made the determination to permanently abandon all exploitation of all Products. Buyer shall promptly notify Seller in writing following any determination by Buyer to permanently abandon all exploitation of all Products. In addition, the restrictions set forth in </w:t>
      </w:r>
      <w:r>
        <w:rPr>
          <w:rFonts w:ascii="Times New Roman" w:cs="Times New Roman" w:eastAsia="Times New Roman" w:hAnsi="Times New Roman"/>
          <w:sz w:val="22"/>
          <w:szCs w:val="22"/>
          <w:u w:val="single" w:color="auto"/>
          <w:color w:val="auto"/>
        </w:rPr>
        <w:t>Section 4.14(a)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Competition</w:t>
      </w:r>
      <w:r>
        <w:rPr>
          <w:rFonts w:ascii="Times New Roman" w:cs="Times New Roman" w:eastAsia="Times New Roman" w:hAnsi="Times New Roman"/>
          <w:sz w:val="22"/>
          <w:szCs w:val="22"/>
          <w:color w:val="auto"/>
        </w:rPr>
        <w:t>) shall cease to apply to Seller and its Affiliates in the event that Buyer’s fails to perform and satisfy its undisputed payment obligations under this Agreement for as long as such breach remains uncured.</w:t>
      </w:r>
    </w:p>
    <w:p>
      <w:pPr>
        <w:spacing w:after="0" w:line="18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4.15</w:t>
      </w:r>
      <w:r>
        <w:rPr>
          <w:rFonts w:ascii="Times New Roman" w:cs="Times New Roman" w:eastAsia="Times New Roman" w:hAnsi="Times New Roman"/>
          <w:sz w:val="22"/>
          <w:szCs w:val="22"/>
          <w:u w:val="single" w:color="auto"/>
          <w:color w:val="auto"/>
        </w:rPr>
        <w:t>Transferred Patent Rights; Negative Covenant</w:t>
      </w:r>
      <w:r>
        <w:rPr>
          <w:rFonts w:ascii="Times New Roman" w:cs="Times New Roman" w:eastAsia="Times New Roman" w:hAnsi="Times New Roman"/>
          <w:sz w:val="22"/>
          <w:szCs w:val="22"/>
          <w:color w:val="auto"/>
        </w:rPr>
        <w:t>. Buyer acknowledges and agrees that the execution and delivery of this Agreement will provide the Buyer Parties with unrestricted rights to use and exploit the Transferred Patent Rights only in connection with the development, manufacture, promotion, marketing, distribution and/or sale of any Acquired Molecule or any Acquired Product and no other compound or product, including, for clarity, any [**]. Buyer hereby covenants and agrees not to, and shall cause the other Buyer Parties not to, practice any (a) Transferred Patent Right or (b) Patent Right licensed under the A&amp;R License Agreement, in each case ((a) and (b)), to develop, manufacture, promote, market, distribute, or sell any compound or product other than an Acquired Molecule or Acquired Product.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4.16</w:t>
      </w:r>
      <w:r>
        <w:rPr>
          <w:rFonts w:ascii="Times New Roman" w:cs="Times New Roman" w:eastAsia="Times New Roman" w:hAnsi="Times New Roman"/>
          <w:sz w:val="22"/>
          <w:szCs w:val="22"/>
          <w:u w:val="single" w:color="auto"/>
          <w:color w:val="auto"/>
        </w:rPr>
        <w:t>Maintenance and Enforcement of the Transferred Patent Rights</w:t>
      </w:r>
      <w:r>
        <w:rPr>
          <w:rFonts w:ascii="Times New Roman" w:cs="Times New Roman" w:eastAsia="Times New Roman" w:hAnsi="Times New Roman"/>
          <w:sz w:val="22"/>
          <w:szCs w:val="22"/>
          <w:color w:val="auto"/>
        </w:rPr>
        <w:t>. Following the Closing, Buyer shall either</w:t>
      </w:r>
    </w:p>
    <w:p>
      <w:pPr>
        <w:spacing w:after="0" w:line="14" w:lineRule="exact"/>
        <w:rPr>
          <w:sz w:val="20"/>
          <w:szCs w:val="20"/>
          <w:color w:val="auto"/>
        </w:rPr>
      </w:pPr>
    </w:p>
    <w:p>
      <w:pPr>
        <w:jc w:val="both"/>
        <w:ind w:firstLine="8"/>
        <w:spacing w:after="0" w:line="232" w:lineRule="auto"/>
        <w:tabs>
          <w:tab w:leader="none" w:pos="31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disclaim, allow to lapse, abandon, or terminally disclaim or fail to take any action necessary or desirable to prevent the disclaimer, lapse or abandonment of, an issued Patent Right in the Transferred Patent Rights if such issued Transferred Patent Right is the only remaining Transferred Patent Right with a Valid Claim that Covers the sale of a Product in a country (except for good faith abandonment in the ordinary course of prosecution) or (b) if Buyer does disclaim, allow to lapse, abandon, or terminally disclaim or fail to take any action necessary or desirable to prevent the disclaimer, lapse or abandonment of such issued Transferred Patent Right (except for good faith abandonment in the ordinary course of prosecution), the Buyer will continue to pay Royalties on Net Sales of Products in such country as if such Transferred Patent Right continued to be issued until such time such Transferred Patent Right would have expired but for such action by Buyer.</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4.17</w:t>
      </w:r>
      <w:r>
        <w:rPr>
          <w:rFonts w:ascii="Times New Roman" w:cs="Times New Roman" w:eastAsia="Times New Roman" w:hAnsi="Times New Roman"/>
          <w:sz w:val="22"/>
          <w:szCs w:val="22"/>
          <w:u w:val="single" w:color="auto"/>
          <w:color w:val="auto"/>
        </w:rPr>
        <w:t>Transferred Materials</w:t>
      </w:r>
      <w:r>
        <w:rPr>
          <w:rFonts w:ascii="Times New Roman" w:cs="Times New Roman" w:eastAsia="Times New Roman" w:hAnsi="Times New Roman"/>
          <w:sz w:val="22"/>
          <w:szCs w:val="22"/>
          <w:color w:val="auto"/>
        </w:rPr>
        <w:t xml:space="preserve">. At or as promptly as practicable following the Closing and as set forth under </w:t>
      </w:r>
      <w:r>
        <w:rPr>
          <w:rFonts w:ascii="Times New Roman" w:cs="Times New Roman" w:eastAsia="Times New Roman" w:hAnsi="Times New Roman"/>
          <w:sz w:val="22"/>
          <w:szCs w:val="22"/>
          <w:u w:val="single" w:color="auto"/>
          <w:color w:val="auto"/>
        </w:rPr>
        <w:t>Annex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9.1(a)(v)</w:t>
      </w:r>
      <w:r>
        <w:rPr>
          <w:rFonts w:ascii="Times New Roman" w:cs="Times New Roman" w:eastAsia="Times New Roman" w:hAnsi="Times New Roman"/>
          <w:sz w:val="22"/>
          <w:szCs w:val="22"/>
          <w:color w:val="auto"/>
        </w:rPr>
        <w:t>, Seller shall cause the Transferred Materials to be made available for delivery to Buyer from Seller’s or its applicable vendor, by Buyer or its carrier and at Buyer’s cost and expense.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TAX MATTERS</w:t>
      </w:r>
    </w:p>
    <w:p>
      <w:pPr>
        <w:spacing w:after="0" w:line="21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Section 5.1</w:t>
      </w:r>
      <w:r>
        <w:rPr>
          <w:rFonts w:ascii="Times New Roman" w:cs="Times New Roman" w:eastAsia="Times New Roman" w:hAnsi="Times New Roman"/>
          <w:sz w:val="22"/>
          <w:szCs w:val="22"/>
          <w:u w:val="single" w:color="auto"/>
          <w:color w:val="auto"/>
        </w:rPr>
        <w:t>Tax Allocation</w:t>
      </w:r>
      <w:r>
        <w:rPr>
          <w:rFonts w:ascii="Times New Roman" w:cs="Times New Roman" w:eastAsia="Times New Roman" w:hAnsi="Times New Roman"/>
          <w:sz w:val="22"/>
          <w:szCs w:val="22"/>
          <w:color w:val="auto"/>
        </w:rPr>
        <w:t xml:space="preserve">. In the case of any Taxes that are imposed on a periodic basis and are payable for a Straddle Period, the portion of such Tax that relates to the portion of the Straddle Period ending on the Closing Date shall (a) in the case of any Taxes other than Taxes based upon or related to income, gains or receipts, sales or use, employment, withholding, transaction-based Taxes, or similar items, be deemed to be the amount of such Tax for the entire Straddle Period multiplied by a fraction, the numerator of which is the number of calendar days from the beginning of such Straddle Period through the Closing Date and the denominator of which is the number of calendar days in the entire Straddle Period, and (b) in the case of any Tax based upon or related to income, gains or receipts, sales or use, employment, withholding, withholding- based Taxes, or similar items, be deemed equal to the amount of Tax which would be payable if the relevant Tax period ended on the Closing Date. Any Tax refunds or credits for overpayment for a Straddle Period shall be determined in a manner consistent with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Tax Allocation</w:t>
      </w:r>
      <w:r>
        <w:rPr>
          <w:rFonts w:ascii="Times New Roman" w:cs="Times New Roman" w:eastAsia="Times New Roman" w:hAnsi="Times New Roman"/>
          <w:sz w:val="22"/>
          <w:szCs w:val="22"/>
          <w:color w:val="auto"/>
        </w:rPr>
        <w:t xml:space="preserve">), and any such amounts that relate to a Pre-Closing Tax Period (or are otherwise described in </w:t>
      </w:r>
      <w:r>
        <w:rPr>
          <w:rFonts w:ascii="Times New Roman" w:cs="Times New Roman" w:eastAsia="Times New Roman" w:hAnsi="Times New Roman"/>
          <w:sz w:val="22"/>
          <w:szCs w:val="22"/>
          <w:u w:val="single" w:color="auto"/>
          <w:color w:val="auto"/>
        </w:rPr>
        <w:t>Annex 9.1(b)(x)</w:t>
      </w:r>
      <w:r>
        <w:rPr>
          <w:rFonts w:ascii="Times New Roman" w:cs="Times New Roman" w:eastAsia="Times New Roman" w:hAnsi="Times New Roman"/>
          <w:sz w:val="22"/>
          <w:szCs w:val="22"/>
          <w:color w:val="auto"/>
        </w:rPr>
        <w:t xml:space="preserve">) shall be for the account of Seller. Buyer shall, or shall cause its Affiliates, to promptly remit to Seller the net amount of any such refund (or any other amounts described in </w:t>
      </w:r>
      <w:r>
        <w:rPr>
          <w:rFonts w:ascii="Times New Roman" w:cs="Times New Roman" w:eastAsia="Times New Roman" w:hAnsi="Times New Roman"/>
          <w:sz w:val="22"/>
          <w:szCs w:val="22"/>
          <w:u w:val="single" w:color="auto"/>
          <w:color w:val="auto"/>
        </w:rPr>
        <w:t>Annex 9.1(b)(x)</w:t>
      </w:r>
      <w:r>
        <w:rPr>
          <w:rFonts w:ascii="Times New Roman" w:cs="Times New Roman" w:eastAsia="Times New Roman" w:hAnsi="Times New Roman"/>
          <w:sz w:val="22"/>
          <w:szCs w:val="22"/>
          <w:color w:val="auto"/>
        </w:rPr>
        <w:t>), net of any out of pocket costs or expenses of Buyer or its Affiliates on obtaining, receiving, or paying over any such refund.</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5.2</w:t>
      </w: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Each of Buyer and Seller shall provide the other with such information and records, and make such of its officers, directors, employees and agents available, as may reasonably be requested by such other Party in connection with the preparation of any Tax Return or the conduct of any Tax Proceeding of the Transferred Assets for any Pre-Closing Tax Period or a Straddle Period.</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5.3</w:t>
      </w:r>
      <w:r>
        <w:rPr>
          <w:rFonts w:ascii="Times New Roman" w:cs="Times New Roman" w:eastAsia="Times New Roman" w:hAnsi="Times New Roman"/>
          <w:sz w:val="22"/>
          <w:szCs w:val="22"/>
          <w:u w:val="single" w:color="auto"/>
          <w:color w:val="auto"/>
        </w:rPr>
        <w:t>Contingent Consideration</w:t>
      </w:r>
      <w:r>
        <w:rPr>
          <w:rFonts w:ascii="Times New Roman" w:cs="Times New Roman" w:eastAsia="Times New Roman" w:hAnsi="Times New Roman"/>
          <w:sz w:val="22"/>
          <w:szCs w:val="22"/>
          <w:color w:val="auto"/>
        </w:rPr>
        <w:t>. The Parties agree for all U.S. Tax purposes that the Contingent Consideration shall be treated as deferred contingent purchase price eligible for installment sale treatment under Section 453 of the Code and any corresponding provision of state and local or non-U.S. Law (subject to any imputation of interest under Section 483 or Section 1274 of the Code). The Parties shall file all Tax Returns consistent with the foregoing.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6.1</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All representations and warranties made in this Agreement shall survive the Closing Date for a period of [**] after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representations and warranties of Seller set forth in [**] (collectively, the “</w:t>
      </w:r>
      <w:r>
        <w:rPr>
          <w:rFonts w:ascii="Times New Roman" w:cs="Times New Roman" w:eastAsia="Times New Roman" w:hAnsi="Times New Roman"/>
          <w:sz w:val="22"/>
          <w:szCs w:val="22"/>
          <w:b w:val="1"/>
          <w:bCs w:val="1"/>
          <w:color w:val="auto"/>
        </w:rPr>
        <w:t>Fundamental Representations</w:t>
      </w:r>
      <w:r>
        <w:rPr>
          <w:rFonts w:ascii="Times New Roman" w:cs="Times New Roman" w:eastAsia="Times New Roman" w:hAnsi="Times New Roman"/>
          <w:sz w:val="22"/>
          <w:szCs w:val="22"/>
          <w:color w:val="auto"/>
        </w:rPr>
        <w:t>”) and [**] shall survive until [**] following the expiration of the applicable statute of limitations. The respective covenants and agreements of Seller and Buyer contained in this Agreement contemplated or required to be performed or complied with from and after the Closing (each, a “</w:t>
      </w:r>
      <w:r>
        <w:rPr>
          <w:rFonts w:ascii="Times New Roman" w:cs="Times New Roman" w:eastAsia="Times New Roman" w:hAnsi="Times New Roman"/>
          <w:sz w:val="22"/>
          <w:szCs w:val="22"/>
          <w:b w:val="1"/>
          <w:bCs w:val="1"/>
          <w:color w:val="auto"/>
        </w:rPr>
        <w:t>Post-Closing Covenant</w:t>
      </w:r>
      <w:r>
        <w:rPr>
          <w:rFonts w:ascii="Times New Roman" w:cs="Times New Roman" w:eastAsia="Times New Roman" w:hAnsi="Times New Roman"/>
          <w:sz w:val="22"/>
          <w:szCs w:val="22"/>
          <w:color w:val="auto"/>
        </w:rPr>
        <w:t>”) shall survive the Closing Date hereunder for such period of time as may be specified therein, but in no event will Buyer be permitted to bring an indemnity claim with respect to any breach of a Post-Closing Covenant after the expiration of the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4" w:name="page185"/>
    <w:bookmarkEnd w:id="184"/>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applicable statute of limitations. An Indemnifying Party shall have no indemnification obligation in respect of claims made pursuant to this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unless the Indemnified Party gives written notice of the claim to the Indemnifying Party in accordance with the procedures set forth in this Agreement on or prior to the expiration of the applicable survival period. If the Indemnified Party delivers such written notice of a claim on or prior to the expiration of the applicable survival period, then the Indemnifying Party’s indemnification obligations shall continue with respect to such claim until the final resolution and satisfaction of such claim in accordance with the provisions of this </w:t>
      </w:r>
      <w:r>
        <w:rPr>
          <w:rFonts w:ascii="Times New Roman" w:cs="Times New Roman" w:eastAsia="Times New Roman" w:hAnsi="Times New Roman"/>
          <w:sz w:val="22"/>
          <w:szCs w:val="22"/>
          <w:u w:val="single" w:color="auto"/>
          <w:color w:val="auto"/>
        </w:rPr>
        <w:t>Article 6.</w:t>
      </w:r>
    </w:p>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6.2</w:t>
      </w:r>
      <w:r>
        <w:rPr>
          <w:rFonts w:ascii="Times New Roman" w:cs="Times New Roman" w:eastAsia="Times New Roman" w:hAnsi="Times New Roman"/>
          <w:sz w:val="22"/>
          <w:szCs w:val="22"/>
          <w:u w:val="single" w:color="auto"/>
          <w:color w:val="auto"/>
        </w:rPr>
        <w:t>Indemnification by Seller</w:t>
      </w:r>
      <w:r>
        <w:rPr>
          <w:rFonts w:ascii="Times New Roman" w:cs="Times New Roman" w:eastAsia="Times New Roman" w:hAnsi="Times New Roman"/>
          <w:sz w:val="22"/>
          <w:szCs w:val="22"/>
          <w:color w:val="auto"/>
        </w:rPr>
        <w:t xml:space="preserve">. From and after the Closing, and subject to this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Seller shall defend, indemnify and hold harmless Buyer, and each of its Subsidiaries and Affiliates, and their respective officers, directors, employees, agents, successors and assigns (collectively, the “</w:t>
      </w:r>
      <w:r>
        <w:rPr>
          <w:rFonts w:ascii="Times New Roman" w:cs="Times New Roman" w:eastAsia="Times New Roman" w:hAnsi="Times New Roman"/>
          <w:sz w:val="22"/>
          <w:szCs w:val="22"/>
          <w:b w:val="1"/>
          <w:bCs w:val="1"/>
          <w:color w:val="auto"/>
        </w:rPr>
        <w:t>Buyer Indemnitees</w:t>
      </w:r>
      <w:r>
        <w:rPr>
          <w:rFonts w:ascii="Times New Roman" w:cs="Times New Roman" w:eastAsia="Times New Roman" w:hAnsi="Times New Roman"/>
          <w:sz w:val="22"/>
          <w:szCs w:val="22"/>
          <w:color w:val="auto"/>
        </w:rPr>
        <w:t xml:space="preserve">”) from and against, and pay or reimburse the Buyer Indemnitees for all Losses resulting from (a) any inaccuracy in or breach of any representation or warranty by Seller set forth in this Agreement, (b) any breach or default in performance by Seller of any Post-Closing Covenant of Seller, (c) the ownership and operation of the Transferred Assets and the Business prior to the Closing Date, and (d) any Excluded Liability. Notwithstanding that a claim for Losses may fall into multiple categories of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Indemnification by Seller</w:t>
      </w:r>
      <w:r>
        <w:rPr>
          <w:rFonts w:ascii="Times New Roman" w:cs="Times New Roman" w:eastAsia="Times New Roman" w:hAnsi="Times New Roman"/>
          <w:sz w:val="22"/>
          <w:szCs w:val="22"/>
          <w:color w:val="auto"/>
        </w:rPr>
        <w:t>), Buyer Indemnitees may recover such Losses only one time.</w:t>
      </w:r>
    </w:p>
    <w:p>
      <w:pPr>
        <w:spacing w:after="0" w:line="17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6.3</w:t>
      </w:r>
      <w:r>
        <w:rPr>
          <w:rFonts w:ascii="Times New Roman" w:cs="Times New Roman" w:eastAsia="Times New Roman" w:hAnsi="Times New Roman"/>
          <w:sz w:val="22"/>
          <w:szCs w:val="22"/>
          <w:u w:val="single" w:color="auto"/>
          <w:color w:val="auto"/>
        </w:rPr>
        <w:t>Indemnification by Buyer</w:t>
      </w:r>
      <w:r>
        <w:rPr>
          <w:rFonts w:ascii="Times New Roman" w:cs="Times New Roman" w:eastAsia="Times New Roman" w:hAnsi="Times New Roman"/>
          <w:sz w:val="22"/>
          <w:szCs w:val="22"/>
          <w:color w:val="auto"/>
        </w:rPr>
        <w:t xml:space="preserve">. From and after the Closing, and subject to this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Buyer shall defend, indemnify and hold harmless Seller and each of its Subsidiaries and Affiliates and their respective officers, directors, employees, agents, successors and assigns (collectively, the “</w:t>
      </w:r>
      <w:r>
        <w:rPr>
          <w:rFonts w:ascii="Times New Roman" w:cs="Times New Roman" w:eastAsia="Times New Roman" w:hAnsi="Times New Roman"/>
          <w:sz w:val="22"/>
          <w:szCs w:val="22"/>
          <w:b w:val="1"/>
          <w:bCs w:val="1"/>
          <w:color w:val="auto"/>
        </w:rPr>
        <w:t>Seller Indemnitees</w:t>
      </w:r>
      <w:r>
        <w:rPr>
          <w:rFonts w:ascii="Times New Roman" w:cs="Times New Roman" w:eastAsia="Times New Roman" w:hAnsi="Times New Roman"/>
          <w:sz w:val="22"/>
          <w:szCs w:val="22"/>
          <w:color w:val="auto"/>
        </w:rPr>
        <w:t xml:space="preserve">”) from and against, and pay or reimburse the Seller Indemnitees for, any and all Losses resulting from (a) any inaccuracy in or breach of any representation or warranty by Buyer set forth in this Agreement, (b) any breach or default in performance by Buyer of any Post-Closing Covenant of Buyer, (c) the ownership and operation of the Transferred Assets and the Business after the Closing and (d) the Assumed Liabilities. Notwithstanding that a claim for Losses may fall into multiple categories of this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Indemnification by Buyer</w:t>
      </w:r>
      <w:r>
        <w:rPr>
          <w:rFonts w:ascii="Times New Roman" w:cs="Times New Roman" w:eastAsia="Times New Roman" w:hAnsi="Times New Roman"/>
          <w:sz w:val="22"/>
          <w:szCs w:val="22"/>
          <w:color w:val="auto"/>
        </w:rPr>
        <w:t>), Seller Indemnitees may recover such Losses only one time.</w:t>
      </w:r>
    </w:p>
    <w:p>
      <w:pPr>
        <w:spacing w:after="0" w:line="17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Section 6.4</w:t>
      </w:r>
      <w:r>
        <w:rPr>
          <w:rFonts w:ascii="Times New Roman" w:cs="Times New Roman" w:eastAsia="Times New Roman" w:hAnsi="Times New Roman"/>
          <w:sz w:val="22"/>
          <w:szCs w:val="22"/>
          <w:u w:val="single" w:color="auto"/>
          <w:color w:val="auto"/>
        </w:rPr>
        <w:t>Limitations on Indemnity</w:t>
      </w:r>
      <w:r>
        <w:rPr>
          <w:rFonts w:ascii="Times New Roman" w:cs="Times New Roman" w:eastAsia="Times New Roman" w:hAnsi="Times New Roman"/>
          <w:sz w:val="22"/>
          <w:szCs w:val="22"/>
          <w:color w:val="auto"/>
        </w:rPr>
        <w:t>. Buyer and Seller agree, for themselves and on behalf of the Buyer Indemnitees and the Seller Indemnitees, respectively, that:</w:t>
      </w:r>
    </w:p>
    <w:p>
      <w:pPr>
        <w:spacing w:after="0" w:line="158" w:lineRule="exact"/>
        <w:rPr>
          <w:sz w:val="20"/>
          <w:szCs w:val="20"/>
          <w:color w:val="auto"/>
        </w:rPr>
      </w:pPr>
    </w:p>
    <w:p>
      <w:pPr>
        <w:jc w:val="both"/>
        <w:ind w:firstLine="1505"/>
        <w:spacing w:after="0" w:line="234" w:lineRule="auto"/>
        <w:tabs>
          <w:tab w:leader="none" w:pos="203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the case of fraud, no Buyer Indemnitee will assert any claims for, nor shall any Buyer Indemnitee be entitled to, indemnification under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Indemnification by Seller</w:t>
      </w:r>
      <w:r>
        <w:rPr>
          <w:rFonts w:ascii="Times New Roman" w:cs="Times New Roman" w:eastAsia="Times New Roman" w:hAnsi="Times New Roman"/>
          <w:sz w:val="22"/>
          <w:szCs w:val="22"/>
          <w:color w:val="auto"/>
        </w:rPr>
        <w:t xml:space="preserve">) until such time as the aggregate of all Losses that Buyer Indemnitees may have under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Indemnification by Seller</w:t>
      </w:r>
      <w:r>
        <w:rPr>
          <w:rFonts w:ascii="Times New Roman" w:cs="Times New Roman" w:eastAsia="Times New Roman" w:hAnsi="Times New Roman"/>
          <w:sz w:val="22"/>
          <w:szCs w:val="22"/>
          <w:color w:val="auto"/>
        </w:rPr>
        <w:t>) exceeds $[**]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 (the “</w:t>
      </w:r>
      <w:r>
        <w:rPr>
          <w:rFonts w:ascii="Times New Roman" w:cs="Times New Roman" w:eastAsia="Times New Roman" w:hAnsi="Times New Roman"/>
          <w:sz w:val="22"/>
          <w:szCs w:val="22"/>
          <w:b w:val="1"/>
          <w:bCs w:val="1"/>
          <w:color w:val="auto"/>
        </w:rPr>
        <w:t>Indemnity Threshold</w:t>
      </w:r>
      <w:r>
        <w:rPr>
          <w:rFonts w:ascii="Times New Roman" w:cs="Times New Roman" w:eastAsia="Times New Roman" w:hAnsi="Times New Roman"/>
          <w:sz w:val="22"/>
          <w:szCs w:val="22"/>
          <w:color w:val="auto"/>
        </w:rPr>
        <w:t xml:space="preserve">”), at which time the Buyer Indemnitees may assert claims for all Losses. The aggregate liability of Seller in respect of claims for indemnification pursuant to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Indemnification by Seller</w:t>
      </w:r>
      <w:r>
        <w:rPr>
          <w:rFonts w:ascii="Times New Roman" w:cs="Times New Roman" w:eastAsia="Times New Roman" w:hAnsi="Times New Roman"/>
          <w:sz w:val="22"/>
          <w:szCs w:val="22"/>
          <w:color w:val="auto"/>
        </w:rPr>
        <w:t>) will not exceed $[**]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 (the “</w:t>
      </w:r>
      <w:r>
        <w:rPr>
          <w:rFonts w:ascii="Times New Roman" w:cs="Times New Roman" w:eastAsia="Times New Roman" w:hAnsi="Times New Roman"/>
          <w:sz w:val="22"/>
          <w:szCs w:val="22"/>
          <w:b w:val="1"/>
          <w:bCs w:val="1"/>
          <w:color w:val="auto"/>
        </w:rPr>
        <w:t>Upfront Cap</w:t>
      </w:r>
      <w:r>
        <w:rPr>
          <w:rFonts w:ascii="Times New Roman" w:cs="Times New Roman" w:eastAsia="Times New Roman" w:hAnsi="Times New Roman"/>
          <w:sz w:val="22"/>
          <w:szCs w:val="22"/>
          <w:color w:val="auto"/>
        </w:rPr>
        <w:t xml:space="preserve">”). Notwithstanding the foregoing, to the extent that Buyer Indemnitees have Losses for which it is entitled to indemnification under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Indemnification by Seller</w:t>
      </w:r>
      <w:r>
        <w:rPr>
          <w:rFonts w:ascii="Times New Roman" w:cs="Times New Roman" w:eastAsia="Times New Roman" w:hAnsi="Times New Roman"/>
          <w:sz w:val="22"/>
          <w:szCs w:val="22"/>
          <w:color w:val="auto"/>
        </w:rPr>
        <w:t>) in excess of the Upfront Cap up to a total of $[**]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 (such excess the “</w:t>
      </w:r>
      <w:r>
        <w:rPr>
          <w:rFonts w:ascii="Times New Roman" w:cs="Times New Roman" w:eastAsia="Times New Roman" w:hAnsi="Times New Roman"/>
          <w:sz w:val="22"/>
          <w:szCs w:val="22"/>
          <w:b w:val="1"/>
          <w:bCs w:val="1"/>
          <w:color w:val="auto"/>
        </w:rPr>
        <w:t>Excess Indemnifiable Losses</w:t>
      </w:r>
      <w:r>
        <w:rPr>
          <w:rFonts w:ascii="Times New Roman" w:cs="Times New Roman" w:eastAsia="Times New Roman" w:hAnsi="Times New Roman"/>
          <w:sz w:val="22"/>
          <w:szCs w:val="22"/>
          <w:color w:val="auto"/>
        </w:rPr>
        <w:t>”), any Buyer Indemnitee may assert a claim against Seller for such Excess Indemnifiable Losses and/or may offset or recover from Seller such Excess Indemnifiable Losses against any Development and Regulatory Milestone Payments, Commercial Milestone Payments, Royalty, or</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5" w:name="page186"/>
    <w:bookmarkEnd w:id="185"/>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(Sub)license Income owed by Buyer to Seller under this Agreement after, with respect to the Royalties, the application of all other reductions applicable pursuant to </w:t>
      </w:r>
      <w:r>
        <w:rPr>
          <w:rFonts w:ascii="Times New Roman" w:cs="Times New Roman" w:eastAsia="Times New Roman" w:hAnsi="Times New Roman"/>
          <w:sz w:val="22"/>
          <w:szCs w:val="22"/>
          <w:u w:val="single" w:color="auto"/>
          <w:color w:val="auto"/>
        </w:rPr>
        <w:t>Section 1.4(c)(iv)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Royalty Reductions</w:t>
      </w:r>
      <w:r>
        <w:rPr>
          <w:rFonts w:ascii="Times New Roman" w:cs="Times New Roman" w:eastAsia="Times New Roman" w:hAnsi="Times New Roman"/>
          <w:sz w:val="22"/>
          <w:szCs w:val="22"/>
          <w:color w:val="auto"/>
        </w:rPr>
        <w:t xml:space="preserve">), but in each case, only to the extent provided in </w:t>
      </w:r>
      <w:r>
        <w:rPr>
          <w:rFonts w:ascii="Times New Roman" w:cs="Times New Roman" w:eastAsia="Times New Roman" w:hAnsi="Times New Roman"/>
          <w:sz w:val="22"/>
          <w:szCs w:val="22"/>
          <w:u w:val="single" w:color="auto"/>
          <w:color w:val="auto"/>
        </w:rPr>
        <w:t>Section 6.4(b)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Limitations on Indemnity</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505"/>
        <w:spacing w:after="0" w:line="233" w:lineRule="auto"/>
        <w:tabs>
          <w:tab w:leader="none" w:pos="2036"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 Buyer Indemnitee asserts a claim against Seller for Excess Indemnifiable Losses, Seller will not be required to pay or reimburse any Excess Indemnifiable Losses to the extent that such Excess Indemnifiable Losses exceed an amount equal to [**] actually received by Seller as of the time such Excess Indemnifiable Losses are payable to the Buyer Indemnitees. To the extent any Excess Indemnifiable Losses are not paid or reimbursed by Seller, whether as a result of the foregoing limitation or otherwise, Buyer may offset them in accordance with this </w:t>
      </w:r>
      <w:r>
        <w:rPr>
          <w:rFonts w:ascii="Times New Roman" w:cs="Times New Roman" w:eastAsia="Times New Roman" w:hAnsi="Times New Roman"/>
          <w:sz w:val="22"/>
          <w:szCs w:val="22"/>
          <w:u w:val="single" w:color="auto"/>
          <w:color w:val="auto"/>
        </w:rPr>
        <w:t>Section 6.4(b)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Limitations on Indemnity</w:t>
      </w:r>
      <w:r>
        <w:rPr>
          <w:rFonts w:ascii="Times New Roman" w:cs="Times New Roman" w:eastAsia="Times New Roman" w:hAnsi="Times New Roman"/>
          <w:sz w:val="22"/>
          <w:szCs w:val="22"/>
          <w:color w:val="auto"/>
        </w:rPr>
        <w:t xml:space="preserve">) against subsequent future Development and Regulatory Milestone Payments, Commercial Milestone Payments, Royalties, or (Sub)license Income payments owed by Buyer to Seller until exhausted;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Development and Regulatory Milestone Payment, Commercial Milestone Payment, Royalty, or (Sub)license Income payment will be reduced by more than</w:t>
      </w:r>
    </w:p>
    <w:p>
      <w:pPr>
        <w:spacing w:after="0" w:line="3" w:lineRule="exact"/>
        <w:rPr>
          <w:rFonts w:ascii="Times New Roman" w:cs="Times New Roman" w:eastAsia="Times New Roman" w:hAnsi="Times New Roman"/>
          <w:sz w:val="22"/>
          <w:szCs w:val="22"/>
          <w:color w:val="auto"/>
        </w:rPr>
      </w:pPr>
    </w:p>
    <w:p>
      <w:pPr>
        <w:jc w:val="both"/>
        <w:ind w:firstLine="8"/>
        <w:spacing w:after="0" w:line="232" w:lineRule="auto"/>
        <w:tabs>
          <w:tab w:leader="none" w:pos="42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relative to what it otherwise would have been absent the reductions in this </w:t>
      </w:r>
      <w:r>
        <w:rPr>
          <w:rFonts w:ascii="Times New Roman" w:cs="Times New Roman" w:eastAsia="Times New Roman" w:hAnsi="Times New Roman"/>
          <w:sz w:val="22"/>
          <w:szCs w:val="22"/>
          <w:u w:val="single" w:color="auto"/>
          <w:color w:val="auto"/>
        </w:rPr>
        <w:t>Section 6.4(b)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Limitations on Indemnity</w:t>
      </w:r>
      <w:r>
        <w:rPr>
          <w:rFonts w:ascii="Times New Roman" w:cs="Times New Roman" w:eastAsia="Times New Roman" w:hAnsi="Times New Roman"/>
          <w:sz w:val="22"/>
          <w:szCs w:val="22"/>
          <w:color w:val="auto"/>
        </w:rPr>
        <w:t>). If and to the extent that any Excess Indemnifiable Losses are not either paid by Seller or offset against any Development and Regulatory Milestone Payments, Commercial Milestone Payments, Royalties, or (Sub)license Income payment as a result of the foregoing limitation, then Buyer may carry forward and offset such amounts against future Development and Regulatory Milestone Payments, Commercial Milestone Payments, Royalties, or (Sub)license Income payments otherwise owed by Buyer to Seller (subject to the foregoing [**] per-payment reduction limit) until exhausted.</w:t>
      </w:r>
    </w:p>
    <w:p>
      <w:pPr>
        <w:spacing w:after="0" w:line="178"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set forth herein, the provisions of </w:t>
      </w:r>
      <w:r>
        <w:rPr>
          <w:rFonts w:ascii="Times New Roman" w:cs="Times New Roman" w:eastAsia="Times New Roman" w:hAnsi="Times New Roman"/>
          <w:sz w:val="22"/>
          <w:szCs w:val="22"/>
          <w:u w:val="single" w:color="auto"/>
          <w:color w:val="auto"/>
        </w:rPr>
        <w:t>Section 6.4(a)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Limitations 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Indemnity</w:t>
      </w:r>
      <w:r>
        <w:rPr>
          <w:rFonts w:ascii="Times New Roman" w:cs="Times New Roman" w:eastAsia="Times New Roman" w:hAnsi="Times New Roman"/>
          <w:sz w:val="22"/>
          <w:szCs w:val="22"/>
          <w:color w:val="auto"/>
        </w:rPr>
        <w:t>) will not apply in respect of claims for breach of any Fundamental Representation or fraud;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in no event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shall the aggregate liability of Seller in respect of claims for indemnification pursuant to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6.2(b)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Indemnification by Seller</w:t>
      </w:r>
      <w:r>
        <w:rPr>
          <w:rFonts w:ascii="Times New Roman" w:cs="Times New Roman" w:eastAsia="Times New Roman" w:hAnsi="Times New Roman"/>
          <w:sz w:val="22"/>
          <w:szCs w:val="22"/>
          <w:color w:val="auto"/>
        </w:rPr>
        <w:t>) exceed the Purchase Price actually received by Seller, other than for fraud.</w:t>
      </w:r>
    </w:p>
    <w:p>
      <w:pPr>
        <w:spacing w:after="0" w:line="175"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Buyer Indemnitee shall be entitled to indemnification, to sue for damages or to assert any other right or remedy under this Agreement with respect to any Loss, cause of action or other claim to the extent it (i) is a potential Loss that may be asserted rather than an actual Loss that has, in fact, been incurred by such Party or (ii) is a Loss with respect to which such Party or any of its Affiliates has taken action (or caused action to be taken) to accelerate the time period in which such matter is asserted or payable. Notwithstanding the foregoing, pursuant to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Survival</w:t>
      </w:r>
      <w:r>
        <w:rPr>
          <w:rFonts w:ascii="Times New Roman" w:cs="Times New Roman" w:eastAsia="Times New Roman" w:hAnsi="Times New Roman"/>
          <w:sz w:val="22"/>
          <w:szCs w:val="22"/>
          <w:color w:val="auto"/>
        </w:rPr>
        <w:t xml:space="preserve">) above, if a written notice of any claim for indemnification hereunder has been delivered in accordance with this Agreement prior to the expiration of the applicable survival period set forth above, the indemnification obligations of Buyer Indemnitee shall continue with respect to such claim until the final resolution and satisfaction of such claim in accordance with the provisions of this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Buyer Indemnitee shall be entitled to recover any amount relating to any matter arising under one provision of this Agreement to the extent such Buyer Indemnitee has already recovered such amount with respect to such matter pursuant to such provision or any other provisions of this Agreement.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6" w:name="page187"/>
    <w:bookmarkEnd w:id="186"/>
    <w:p>
      <w:pPr>
        <w:jc w:val="both"/>
        <w:ind w:firstLine="1505"/>
        <w:spacing w:after="0" w:line="238" w:lineRule="auto"/>
        <w:tabs>
          <w:tab w:leader="none" w:pos="203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each indemnification obligation in this Agreement: (i) in no event shall an Indemnifying Party have liability to the Indemnified Party for damages that are waived pursuant to </w:t>
      </w:r>
      <w:r>
        <w:rPr>
          <w:rFonts w:ascii="Times New Roman" w:cs="Times New Roman" w:eastAsia="Times New Roman" w:hAnsi="Times New Roman"/>
          <w:sz w:val="22"/>
          <w:szCs w:val="22"/>
          <w:u w:val="single" w:color="auto"/>
          <w:color w:val="auto"/>
        </w:rPr>
        <w:t>Section 8.4(c)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Waiver of Certain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Damages</w:t>
      </w:r>
      <w:r>
        <w:rPr>
          <w:rFonts w:ascii="Times New Roman" w:cs="Times New Roman" w:eastAsia="Times New Roman" w:hAnsi="Times New Roman"/>
          <w:sz w:val="22"/>
          <w:szCs w:val="22"/>
          <w:color w:val="auto"/>
        </w:rPr>
        <w:t>); and (ii) the Parties shall treat any indemnification payment made under this Agreement as an adjustment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Upfront Consideration, or Development and Regulatory Milestone Payments, Commercial Milestone Payments, or Royalties, or (Sub)license Income (as applicable).</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Indemnified Party receives any payment from an Indemnifying Party in respect of any Losses pursuant to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and the Indemnified Party could have recovered all or a part of such Losses from a Third Party (a “</w:t>
      </w:r>
      <w:r>
        <w:rPr>
          <w:rFonts w:ascii="Times New Roman" w:cs="Times New Roman" w:eastAsia="Times New Roman" w:hAnsi="Times New Roman"/>
          <w:sz w:val="22"/>
          <w:szCs w:val="22"/>
          <w:b w:val="1"/>
          <w:bCs w:val="1"/>
          <w:color w:val="auto"/>
        </w:rPr>
        <w:t>Potential Contributor</w:t>
      </w:r>
      <w:r>
        <w:rPr>
          <w:rFonts w:ascii="Times New Roman" w:cs="Times New Roman" w:eastAsia="Times New Roman" w:hAnsi="Times New Roman"/>
          <w:sz w:val="22"/>
          <w:szCs w:val="22"/>
          <w:color w:val="auto"/>
        </w:rPr>
        <w:t>”) based on the underlying claim asserted against the Indemnifying Party, the Indemnified Party shall assign such of its rights to proceed against the Potential Contributor as are necessary to permit the Indemnifying Party to recover from the Potential Contributor the amount of such payment.</w:t>
      </w:r>
    </w:p>
    <w:p>
      <w:pPr>
        <w:spacing w:after="0" w:line="176"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203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Indemnified Party shall take all commercially reasonable steps under applicable Law to mitigate any Losses incurred by such Party upon and after becoming aware of any event or condition that would reasonably be expected to give rise to any indemnification rights hereunder.</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6.5</w:t>
      </w:r>
      <w:r>
        <w:rPr>
          <w:rFonts w:ascii="Times New Roman" w:cs="Times New Roman" w:eastAsia="Times New Roman" w:hAnsi="Times New Roman"/>
          <w:sz w:val="22"/>
          <w:szCs w:val="22"/>
          <w:u w:val="single" w:color="auto"/>
          <w:color w:val="auto"/>
        </w:rPr>
        <w:t>Notification of Claims; Third Party Claims</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firstLine="1505"/>
        <w:spacing w:after="0" w:line="235" w:lineRule="auto"/>
        <w:tabs>
          <w:tab w:leader="none" w:pos="203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that may be entitled to be indemnified under this Agreement (the “</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shall promptly notify the Party or Parties liable for such indemnification (the “</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xml:space="preserve">”) in writing of any claim in respect of which indemnity may be sought under this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Indemnification</w:t>
      </w:r>
      <w:r>
        <w:rPr>
          <w:rFonts w:ascii="Times New Roman" w:cs="Times New Roman" w:eastAsia="Times New Roman" w:hAnsi="Times New Roman"/>
          <w:sz w:val="22"/>
          <w:szCs w:val="22"/>
          <w:color w:val="auto"/>
        </w:rPr>
        <w:t xml:space="preserve">), describing in reasonable detail the facts and circumstances with respect to the subject matter of such claim;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 the failure to provide such notice shall not release the Indemnifying Party from any of its obligations under this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Indemnification</w:t>
      </w:r>
      <w:r>
        <w:rPr>
          <w:rFonts w:ascii="Times New Roman" w:cs="Times New Roman" w:eastAsia="Times New Roman" w:hAnsi="Times New Roman"/>
          <w:sz w:val="22"/>
          <w:szCs w:val="22"/>
          <w:color w:val="auto"/>
        </w:rPr>
        <w:t xml:space="preserve">) except to the extent the Indemnifying Party is prejudiced by such failure and (ii) the Indemnified Party will not be permitted to deliver a such notice (and will not be entitled to indemnification pursuant to this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Indemnification</w:t>
      </w:r>
      <w:r>
        <w:rPr>
          <w:rFonts w:ascii="Times New Roman" w:cs="Times New Roman" w:eastAsia="Times New Roman" w:hAnsi="Times New Roman"/>
          <w:sz w:val="22"/>
          <w:szCs w:val="22"/>
          <w:color w:val="auto"/>
        </w:rPr>
        <w:t xml:space="preserve">)) with respect to breaches of a representation and warranty unless such notice is delivered prior to the expiration of any applicable survival period specified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Survival</w:t>
      </w:r>
      <w:r>
        <w:rPr>
          <w:rFonts w:ascii="Times New Roman" w:cs="Times New Roman" w:eastAsia="Times New Roman" w:hAnsi="Times New Roman"/>
          <w:sz w:val="22"/>
          <w:szCs w:val="22"/>
          <w:color w:val="auto"/>
        </w:rPr>
        <w:t>) for such representation or warranty.</w:t>
      </w:r>
    </w:p>
    <w:p>
      <w:pPr>
        <w:spacing w:after="0" w:line="177"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receipt of notice of a claim for indemnity from an Indemnified Party pursuant to this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Notification of Claims; Third Party Claims</w:t>
      </w:r>
      <w:r>
        <w:rPr>
          <w:rFonts w:ascii="Times New Roman" w:cs="Times New Roman" w:eastAsia="Times New Roman" w:hAnsi="Times New Roman"/>
          <w:sz w:val="22"/>
          <w:szCs w:val="22"/>
          <w:color w:val="auto"/>
        </w:rPr>
        <w:t>) in respect of a pending or threatened claim or demand by a Third Party that the Indemnified Party has determined has given or could reasonably give rise to a right of indemnification under this Agreement (such claim or demand being a “</w:t>
      </w:r>
      <w:r>
        <w:rPr>
          <w:rFonts w:ascii="Times New Roman" w:cs="Times New Roman" w:eastAsia="Times New Roman" w:hAnsi="Times New Roman"/>
          <w:sz w:val="22"/>
          <w:szCs w:val="22"/>
          <w:b w:val="1"/>
          <w:bCs w:val="1"/>
          <w:color w:val="auto"/>
        </w:rPr>
        <w:t>Third Party Claim</w:t>
      </w:r>
      <w:r>
        <w:rPr>
          <w:rFonts w:ascii="Times New Roman" w:cs="Times New Roman" w:eastAsia="Times New Roman" w:hAnsi="Times New Roman"/>
          <w:sz w:val="22"/>
          <w:szCs w:val="22"/>
          <w:color w:val="auto"/>
        </w:rPr>
        <w:t>” and including a pending or threatened claim or demand asserted by a Third Party against the Indemnified Party), the Indemnifying Party may, by notice to the Indemnified Party delivered within [**] of the receipt of notice of such Third Party Claim, assume the defense and control of such Third Party Claim, with its own counsel and at its own expense, but shall allow the Indemnified Party a reasonable opportunity to participate in the defense of such Third Party Claim with its own counsel and at its own expense. The Indemnified Party may take any actions reasonably necessary to defend such Third Party Claim prior to the time that it receives notice from the Indemnifying Party as contemplated by the preceding sentence. The Indemnifying Party shall not, without the prior written consent of the Indemnified Party (which shall not be unreasonably withheld, conditioned, or delayed), consent to a settlement,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7" w:name="page188"/>
    <w:bookmarkEnd w:id="187"/>
    <w:p>
      <w:pPr>
        <w:jc w:val="both"/>
        <w:spacing w:after="0" w:line="246" w:lineRule="auto"/>
        <w:rPr>
          <w:sz w:val="20"/>
          <w:szCs w:val="20"/>
          <w:color w:val="auto"/>
        </w:rPr>
      </w:pPr>
      <w:r>
        <w:rPr>
          <w:rFonts w:ascii="Times New Roman" w:cs="Times New Roman" w:eastAsia="Times New Roman" w:hAnsi="Times New Roman"/>
          <w:sz w:val="21"/>
          <w:szCs w:val="21"/>
          <w:color w:val="auto"/>
        </w:rPr>
        <w:t>compromise or discharge of, or the entry of any judgment arising from, any Third Party Claim. Without limitation, the Parties stipulate and agree that it would be reasonable for the Indemnified Party to withhold such consent if (i) the Indemnifying Party does not pay or cause to be paid all amounts arising out of such settlement, compromise, or judgment concurrently with its effectiveness, (ii) the settlement, compromise, or discharge judgment involves any finding or admission of any violation of Law or admission of any wrongdoing by the Indemnified Party, encumbers any asset of any Indemnified Party, or requires the Indemnified Party agree to any restriction or condition that would apply to or materially adversely affect any Indemnified Party, or (iii) the settlement, compromise, or judgment does not contain a complete and unconditional release of each Indemnified Party from any and all liability in respect of such Third Party Claim. The Indemnified Party shall not settle, compromise or consent to the entry of any judgment with respect to any claim or demand for which it is seeking indemnification from the Indemnifying Party or admit to any liability with respect to such claim or demand without the prior written consent of the Indemnifying Party.</w:t>
      </w:r>
    </w:p>
    <w:p>
      <w:pPr>
        <w:spacing w:after="0" w:line="167" w:lineRule="exact"/>
        <w:rPr>
          <w:sz w:val="20"/>
          <w:szCs w:val="20"/>
          <w:color w:val="auto"/>
        </w:rPr>
      </w:pPr>
    </w:p>
    <w:p>
      <w:pPr>
        <w:jc w:val="both"/>
        <w:ind w:firstLine="1505"/>
        <w:spacing w:after="0" w:line="241" w:lineRule="auto"/>
        <w:tabs>
          <w:tab w:leader="none" w:pos="203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Indemnification</w:t>
      </w:r>
      <w:r>
        <w:rPr>
          <w:rFonts w:ascii="Times New Roman" w:cs="Times New Roman" w:eastAsia="Times New Roman" w:hAnsi="Times New Roman"/>
          <w:sz w:val="22"/>
          <w:szCs w:val="22"/>
          <w:color w:val="auto"/>
        </w:rPr>
        <w:t xml:space="preserve">) (including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Indemnification by Seller</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Indemnification by Buyer</w:t>
      </w:r>
      <w:r>
        <w:rPr>
          <w:rFonts w:ascii="Times New Roman" w:cs="Times New Roman" w:eastAsia="Times New Roman" w:hAnsi="Times New Roman"/>
          <w:sz w:val="22"/>
          <w:szCs w:val="22"/>
          <w:color w:val="auto"/>
        </w:rPr>
        <w:t xml:space="preserve">)), no Indemnifying Party shall have any liability under this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Indemnification</w:t>
      </w:r>
      <w:r>
        <w:rPr>
          <w:rFonts w:ascii="Times New Roman" w:cs="Times New Roman" w:eastAsia="Times New Roman" w:hAnsi="Times New Roman"/>
          <w:sz w:val="22"/>
          <w:szCs w:val="22"/>
          <w:color w:val="auto"/>
        </w:rPr>
        <w:t>) for any Losses arising out of or in connection with any Third Party Claim that is settled or compromised by an Indemnified Party without the prior written consent of such Indemnifying Party.</w:t>
      </w:r>
    </w:p>
    <w:p>
      <w:pPr>
        <w:spacing w:after="0" w:line="175"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any Indemnifying Party receives notice of a claim for indemnity from an Indemnified Party pursuant to this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Notification of Claims; Third Party Claims</w:t>
      </w:r>
      <w:r>
        <w:rPr>
          <w:rFonts w:ascii="Times New Roman" w:cs="Times New Roman" w:eastAsia="Times New Roman" w:hAnsi="Times New Roman"/>
          <w:sz w:val="22"/>
          <w:szCs w:val="22"/>
          <w:color w:val="auto"/>
        </w:rPr>
        <w:t xml:space="preserve">) that does not involve a Third Party Claim, the Indemnifying Party shall notify the Indemnified Party within [**] following its receipt of such notice whether the Indemnifying Party disputes its liability to the Indemnified Party under this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Indemnification</w:t>
      </w:r>
      <w:r>
        <w:rPr>
          <w:rFonts w:ascii="Times New Roman" w:cs="Times New Roman" w:eastAsia="Times New Roman" w:hAnsi="Times New Roman"/>
          <w:sz w:val="22"/>
          <w:szCs w:val="22"/>
          <w:color w:val="auto"/>
        </w:rPr>
        <w:t>). The Indemnified Party shall reasonably cooperate with and assist the Indemnifying Party in determining the validity of any such claim for indemnity by the Indemnified Party.</w:t>
      </w:r>
    </w:p>
    <w:p>
      <w:pPr>
        <w:spacing w:after="0" w:line="181"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Section 6.6</w:t>
      </w:r>
      <w:r>
        <w:rPr>
          <w:rFonts w:ascii="Times New Roman" w:cs="Times New Roman" w:eastAsia="Times New Roman" w:hAnsi="Times New Roman"/>
          <w:sz w:val="21"/>
          <w:szCs w:val="21"/>
          <w:u w:val="single" w:color="auto"/>
          <w:color w:val="auto"/>
        </w:rPr>
        <w:t>Exclusive Remedy</w:t>
      </w:r>
      <w:r>
        <w:rPr>
          <w:rFonts w:ascii="Times New Roman" w:cs="Times New Roman" w:eastAsia="Times New Roman" w:hAnsi="Times New Roman"/>
          <w:sz w:val="21"/>
          <w:szCs w:val="21"/>
          <w:color w:val="auto"/>
        </w:rPr>
        <w:t xml:space="preserve">. Notwithstanding any provision to the contrary in this Agreement, Seller and Buyer hereby agree that following the Closing, subject to </w:t>
      </w:r>
      <w:r>
        <w:rPr>
          <w:rFonts w:ascii="Times New Roman" w:cs="Times New Roman" w:eastAsia="Times New Roman" w:hAnsi="Times New Roman"/>
          <w:sz w:val="21"/>
          <w:szCs w:val="21"/>
          <w:u w:val="single" w:color="auto"/>
          <w:color w:val="auto"/>
        </w:rPr>
        <w:t>Section 8.10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Specific Performance</w:t>
      </w:r>
      <w:r>
        <w:rPr>
          <w:rFonts w:ascii="Times New Roman" w:cs="Times New Roman" w:eastAsia="Times New Roman" w:hAnsi="Times New Roman"/>
          <w:sz w:val="21"/>
          <w:szCs w:val="21"/>
          <w:color w:val="auto"/>
        </w:rPr>
        <w:t xml:space="preserve">), the sole and exclusive financial remedy of a Party for any breach or inaccuracy of any representation, warranty, covenant, or agreement contained in this Agreement shall be the indemnification rights set forth in this </w:t>
      </w:r>
      <w:r>
        <w:rPr>
          <w:rFonts w:ascii="Times New Roman" w:cs="Times New Roman" w:eastAsia="Times New Roman" w:hAnsi="Times New Roman"/>
          <w:sz w:val="21"/>
          <w:szCs w:val="21"/>
          <w:u w:val="single" w:color="auto"/>
          <w:color w:val="auto"/>
        </w:rPr>
        <w:t>Article 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Indemnification</w:t>
      </w:r>
      <w:r>
        <w:rPr>
          <w:rFonts w:ascii="Times New Roman" w:cs="Times New Roman" w:eastAsia="Times New Roman" w:hAnsi="Times New Roman"/>
          <w:sz w:val="21"/>
          <w:szCs w:val="21"/>
          <w:color w:val="auto"/>
        </w:rPr>
        <w:t xml:space="preserve">), regardless of the legal theory under which any liability or obligation may be sought to be imposed, whether sounding in contract or tort, or whether at law or in equity, or otherwise. The Parties hereto agree that the provisions of this Agreement relating to indemnification, and the limits imposed on Buyer’s and the Buyer Indemnitees’ and Seller’s and Seller Indemnities’ rights and remedies with respect to this Agreement and the transactions contemplated hereby (including this </w:t>
      </w:r>
      <w:r>
        <w:rPr>
          <w:rFonts w:ascii="Times New Roman" w:cs="Times New Roman" w:eastAsia="Times New Roman" w:hAnsi="Times New Roman"/>
          <w:sz w:val="21"/>
          <w:szCs w:val="21"/>
          <w:u w:val="single" w:color="auto"/>
          <w:color w:val="auto"/>
        </w:rPr>
        <w:t>Article 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Indemnification</w:t>
      </w:r>
      <w:r>
        <w:rPr>
          <w:rFonts w:ascii="Times New Roman" w:cs="Times New Roman" w:eastAsia="Times New Roman" w:hAnsi="Times New Roman"/>
          <w:sz w:val="21"/>
          <w:szCs w:val="21"/>
          <w:color w:val="auto"/>
        </w:rPr>
        <w:t>)) were specifically bargained for between sophisticated parties and were specifically taken into account in the determination of the amounts to be paid to Seller hereunder. Without limiting the generality of the foregoing, the Parties to this Agreement hereby irrevocably waive any right of rescission they may otherwise have or to which they may become entitled with respect to this Agreement and the transactions contemplated hereby.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23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7.1</w:t>
      </w:r>
      <w:r>
        <w:rPr>
          <w:rFonts w:ascii="Times New Roman" w:cs="Times New Roman" w:eastAsia="Times New Roman" w:hAnsi="Times New Roman"/>
          <w:sz w:val="22"/>
          <w:szCs w:val="22"/>
          <w:u w:val="single" w:color="auto"/>
          <w:color w:val="auto"/>
        </w:rPr>
        <w:t>Certain Terms</w:t>
      </w:r>
      <w:r>
        <w:rPr>
          <w:rFonts w:ascii="Times New Roman" w:cs="Times New Roman" w:eastAsia="Times New Roman" w:hAnsi="Times New Roman"/>
          <w:sz w:val="22"/>
          <w:szCs w:val="22"/>
          <w:color w:val="auto"/>
        </w:rPr>
        <w:t>. The following terms have the respective meanings given to them below:</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A&amp;R License Agreement</w:t>
      </w:r>
      <w:r>
        <w:rPr>
          <w:rFonts w:ascii="Times New Roman" w:cs="Times New Roman" w:eastAsia="Times New Roman" w:hAnsi="Times New Roman"/>
          <w:sz w:val="22"/>
          <w:szCs w:val="22"/>
          <w:color w:val="auto"/>
        </w:rPr>
        <w:t>” means that certain Amended and Restated Exclusive License Agreement between [**] and Buyer, dated as of the Closing Date.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Acquired Backup Molecule</w:t>
      </w:r>
      <w:r>
        <w:rPr>
          <w:rFonts w:ascii="Times New Roman" w:cs="Times New Roman" w:eastAsia="Times New Roman" w:hAnsi="Times New Roman"/>
          <w:sz w:val="22"/>
          <w:szCs w:val="22"/>
          <w:color w:val="auto"/>
        </w:rPr>
        <w:t xml:space="preserve">” means each molecule described on </w:t>
      </w:r>
      <w:r>
        <w:rPr>
          <w:rFonts w:ascii="Times New Roman" w:cs="Times New Roman" w:eastAsia="Times New Roman" w:hAnsi="Times New Roman"/>
          <w:sz w:val="22"/>
          <w:szCs w:val="22"/>
          <w:u w:val="single" w:color="auto"/>
          <w:color w:val="auto"/>
        </w:rPr>
        <w:t>Part C</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Acquired Molecule</w:t>
      </w:r>
      <w:r>
        <w:rPr>
          <w:rFonts w:ascii="Times New Roman" w:cs="Times New Roman" w:eastAsia="Times New Roman" w:hAnsi="Times New Roman"/>
          <w:sz w:val="22"/>
          <w:szCs w:val="22"/>
          <w:color w:val="auto"/>
        </w:rPr>
        <w:t>” means (a) ADX-097, (b) the Acquired Backup Molecules, or (c) any other molecule that includes, comprises or contains (i) an Antibody that directly binds to C3d, or a fragment or portion thereof and (ii) CFH (ENSG00000000971), or a fragment or portion thereof.</w:t>
      </w:r>
    </w:p>
    <w:p>
      <w:pPr>
        <w:spacing w:after="0" w:line="16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Acquired Product</w:t>
      </w:r>
      <w:r>
        <w:rPr>
          <w:rFonts w:ascii="Times New Roman" w:cs="Times New Roman" w:eastAsia="Times New Roman" w:hAnsi="Times New Roman"/>
          <w:sz w:val="22"/>
          <w:szCs w:val="22"/>
          <w:color w:val="auto"/>
        </w:rPr>
        <w:t>” means, as of the applicable time, any product, in all forms, presentations, formulation, methods of administration and dosage forms, that includes, comprises or contains (a) ADX-097 or (b) any other Acquired Molecule that is owned or controlled by Seller or its Affiliates, in each case (a)-(b), including its peptide and nucleic acid sequences, and any fragments, variants and derivatives of, and modified (including post-translationally modified) forms of, the foregoing (in each case, alone or in combination with other active ingredients).</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Acquired Program</w:t>
      </w:r>
      <w:r>
        <w:rPr>
          <w:rFonts w:ascii="Times New Roman" w:cs="Times New Roman" w:eastAsia="Times New Roman" w:hAnsi="Times New Roman"/>
          <w:sz w:val="22"/>
          <w:szCs w:val="22"/>
          <w:color w:val="auto"/>
        </w:rPr>
        <w:t>” means the Seller’s and the Selling Affiliates’ program of research and development related to Acquired Molecules and Acquired Products.</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Acquirer</w:t>
      </w:r>
      <w:r>
        <w:rPr>
          <w:rFonts w:ascii="Times New Roman" w:cs="Times New Roman" w:eastAsia="Times New Roman" w:hAnsi="Times New Roman"/>
          <w:sz w:val="22"/>
          <w:szCs w:val="22"/>
          <w:color w:val="auto"/>
        </w:rPr>
        <w:t>” means, collectively, with respect to the acquisition of a Party by a Third Party, a Third Party referenced in the definition of Change of Control and such Third Party’s Affiliates, other than the applicable Party in the definition of Change of Control and such Party’s Affiliates (determined as of immediately prior to the closing of such Change of Control).</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ADX-097</w:t>
      </w:r>
      <w:r>
        <w:rPr>
          <w:rFonts w:ascii="Times New Roman" w:cs="Times New Roman" w:eastAsia="Times New Roman" w:hAnsi="Times New Roman"/>
          <w:sz w:val="22"/>
          <w:szCs w:val="22"/>
          <w:color w:val="auto"/>
        </w:rPr>
        <w:t xml:space="preserve">” means the molecule described on </w:t>
      </w:r>
      <w:r>
        <w:rPr>
          <w:rFonts w:ascii="Times New Roman" w:cs="Times New Roman" w:eastAsia="Times New Roman" w:hAnsi="Times New Roman"/>
          <w:sz w:val="22"/>
          <w:szCs w:val="22"/>
          <w:u w:val="single" w:color="auto"/>
          <w:color w:val="auto"/>
        </w:rPr>
        <w:t>Part 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any Person, any other Person that now or hereinafter controls, is controlled by, or is under common control with, such Person. For purposes of this definition, “control” shall mean direct or indirect ownership of at least fifty percent (50%) of the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9" w:name="page190"/>
    <w:bookmarkEnd w:id="189"/>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shares of stock entitled to vote for the election of directors, in the case of a corporation, or fifty percent (50%) or more of the equity interest, in the case of any other type of legal entity, status as a general partner in any partnership or any other arrangement whereby the Person controls or has the right to control the board of directors or equivalent governing body of a corporation or other entity, or the ability to direct the management and policies of a corporation or other entity. The Parties acknowledge that, in the case of entities organized under the laws of certain countries where the maximum percentage ownership permitted by law for a foreign investor is less than fifty percent (50%), such lower percentage shall be substituted in the preceding sentence;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foreign investor has the power to direct the management and policies of such entity.</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Ancillary Agreements</w:t>
      </w:r>
      <w:r>
        <w:rPr>
          <w:rFonts w:ascii="Times New Roman" w:cs="Times New Roman" w:eastAsia="Times New Roman" w:hAnsi="Times New Roman"/>
          <w:sz w:val="21"/>
          <w:szCs w:val="21"/>
          <w:color w:val="auto"/>
        </w:rPr>
        <w:t>” means the (a) Business Transfer Documents, (b) the Assignment and Assumption Agreement,</w:t>
      </w:r>
    </w:p>
    <w:p>
      <w:pPr>
        <w:spacing w:after="0" w:line="30" w:lineRule="exact"/>
        <w:rPr>
          <w:sz w:val="20"/>
          <w:szCs w:val="20"/>
          <w:color w:val="auto"/>
        </w:rPr>
      </w:pPr>
    </w:p>
    <w:p>
      <w:pPr>
        <w:ind w:firstLine="8"/>
        <w:spacing w:after="0" w:line="237" w:lineRule="auto"/>
        <w:tabs>
          <w:tab w:leader="none" w:pos="317"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Bill of Sale, (d) the Patent Assignment, (e) the License Agreement Novation Agreement, and (f) all other agreements, documents and instruments executed and delivered in connection with the transactions contemplated by this Agreement.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Annual Net Sales</w:t>
      </w:r>
      <w:r>
        <w:rPr>
          <w:rFonts w:ascii="Times New Roman" w:cs="Times New Roman" w:eastAsia="Times New Roman" w:hAnsi="Times New Roman"/>
          <w:sz w:val="21"/>
          <w:szCs w:val="21"/>
          <w:color w:val="auto"/>
        </w:rPr>
        <w:t>” means, on a Product-by-Product basis, the total Net Sales of such Product in a given Calendar Year.</w:t>
      </w:r>
    </w:p>
    <w:p>
      <w:pPr>
        <w:spacing w:after="0" w:line="218"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Anti-Corruption Laws</w:t>
      </w:r>
      <w:r>
        <w:rPr>
          <w:rFonts w:ascii="Times New Roman" w:cs="Times New Roman" w:eastAsia="Times New Roman" w:hAnsi="Times New Roman"/>
          <w:sz w:val="22"/>
          <w:szCs w:val="22"/>
          <w:color w:val="auto"/>
        </w:rPr>
        <w:t>” means the Foreign Corrupt Practices Act of 1977, as amended, the Anti-Kickback Act of 1986 or any applicable laws of similar effect, and the related regulations and published interpretations thereunder.</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Antibody</w:t>
      </w:r>
      <w:r>
        <w:rPr>
          <w:rFonts w:ascii="Times New Roman" w:cs="Times New Roman" w:eastAsia="Times New Roman" w:hAnsi="Times New Roman"/>
          <w:sz w:val="22"/>
          <w:szCs w:val="22"/>
          <w:color w:val="auto"/>
        </w:rPr>
        <w:t>” means an antibody or immunoglobulin molecule (whether human, murine, humanized, chimeric, monoclonal, polyclonal, full-length, functional fragment, or any other type of antibody or antibody derivative), whether multiple or single chain, recombinant or naturally occurring or a combination of the foregoing, whole or fragment.</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Assignment and Assumption Agreement</w:t>
      </w:r>
      <w:r>
        <w:rPr>
          <w:rFonts w:ascii="Times New Roman" w:cs="Times New Roman" w:eastAsia="Times New Roman" w:hAnsi="Times New Roman"/>
          <w:sz w:val="22"/>
          <w:szCs w:val="22"/>
          <w:color w:val="auto"/>
        </w:rPr>
        <w:t xml:space="preserve">” means that certain assignment and assumption agreement entered into by the Parties substantially in the form as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assigning the Assumed Liabilities to the Buyer.</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Assumed Liabilities</w:t>
      </w:r>
      <w:r>
        <w:rPr>
          <w:rFonts w:ascii="Times New Roman" w:cs="Times New Roman" w:eastAsia="Times New Roman" w:hAnsi="Times New Roman"/>
          <w:sz w:val="22"/>
          <w:szCs w:val="22"/>
          <w:color w:val="auto"/>
        </w:rPr>
        <w:t xml:space="preserve">” means the obligations and liabilities set forth or described on </w:t>
      </w:r>
      <w:r>
        <w:rPr>
          <w:rFonts w:ascii="Times New Roman" w:cs="Times New Roman" w:eastAsia="Times New Roman" w:hAnsi="Times New Roman"/>
          <w:sz w:val="22"/>
          <w:szCs w:val="22"/>
          <w:u w:val="single" w:color="auto"/>
          <w:color w:val="auto"/>
        </w:rPr>
        <w:t>Annex 9.1(c)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Bill of Sale</w:t>
      </w:r>
      <w:r>
        <w:rPr>
          <w:rFonts w:ascii="Times New Roman" w:cs="Times New Roman" w:eastAsia="Times New Roman" w:hAnsi="Times New Roman"/>
          <w:sz w:val="22"/>
          <w:szCs w:val="22"/>
          <w:color w:val="auto"/>
        </w:rPr>
        <w:t xml:space="preserve">” means that certain bill of sale entered into by the Parties substantially in the form as attached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transferring the tangible personal property included in the Transferred Assets to the Buyer.</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0" w:name="page191"/>
    <w:bookmarkEnd w:id="190"/>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Biosimilar Product</w:t>
      </w:r>
      <w:r>
        <w:rPr>
          <w:rFonts w:ascii="Times New Roman" w:cs="Times New Roman" w:eastAsia="Times New Roman" w:hAnsi="Times New Roman"/>
          <w:sz w:val="22"/>
          <w:szCs w:val="22"/>
          <w:color w:val="auto"/>
        </w:rPr>
        <w:t>” means, with respect to a Product in a country, biologic product (a) whose licensing, approval, or marketing authorization relies in whole or in part on (i) a prior Regulatory Approval granted for such Product or (ii) any clinical data related to such Product generated for evidence of the safety and efficacy of such product, or (b) is determined by the applicable Regulatory Authority in such a country to be a biosimilar to or have no clinically meaningful differences from a Product, as set forth in 42 U.S.C. § 262(k)(4) in the United States, Section 10 of Directive 2001/83/EC in the European Union, or other applicable Law.</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that is not (a) a Saturday, (b) a Sunday or (c) any other day on which commercial banks are authorized or required by law to be closed in New York, New York or Boston, Massachusetts.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Transfer Documents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Business Transfer Documents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 Disclosure Letter</w:t>
      </w:r>
      <w:r>
        <w:rPr>
          <w:rFonts w:ascii="Times New Roman" w:cs="Times New Roman" w:eastAsia="Times New Roman" w:hAnsi="Times New Roman"/>
          <w:sz w:val="22"/>
          <w:szCs w:val="22"/>
          <w:color w:val="auto"/>
        </w:rPr>
        <w:t>” means the letter, dated as of the date hereof, delivered by Buyer to Seller prior to the execution of this Agreement and identified as the Buyer Disclosure Letter.</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 Indemnitees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Indemnification by Seller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 Party</w:t>
      </w:r>
      <w:r>
        <w:rPr>
          <w:rFonts w:ascii="Times New Roman" w:cs="Times New Roman" w:eastAsia="Times New Roman" w:hAnsi="Times New Roman"/>
          <w:sz w:val="22"/>
          <w:szCs w:val="22"/>
          <w:color w:val="auto"/>
        </w:rPr>
        <w:t>” means Buyer and its Affiliates and any (Sub)licensee.</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Calendar Quarter</w:t>
      </w:r>
      <w:r>
        <w:rPr>
          <w:rFonts w:ascii="Times New Roman" w:cs="Times New Roman" w:eastAsia="Times New Roman" w:hAnsi="Times New Roman"/>
          <w:sz w:val="22"/>
          <w:szCs w:val="22"/>
          <w:color w:val="auto"/>
        </w:rPr>
        <w:t xml:space="preserve">” means each of the three-month periods ending March 31, June 30, September 30 and December 31;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first Calendar Quarter under this Agreement will extend from the Closing Date to the end of the then-current Calendar Quarter.</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Calendar Year</w:t>
      </w:r>
      <w:r>
        <w:rPr>
          <w:rFonts w:ascii="Times New Roman" w:cs="Times New Roman" w:eastAsia="Times New Roman" w:hAnsi="Times New Roman"/>
          <w:sz w:val="22"/>
          <w:szCs w:val="22"/>
          <w:color w:val="auto"/>
        </w:rPr>
        <w:t xml:space="preserve">” means the one (1) year period beginning on January 1 and ending on December 31;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first Calendar Year under this Agreement will extend from the Closing Date to the end of the then-current Calendar Year.</w:t>
      </w:r>
    </w:p>
    <w:p>
      <w:pPr>
        <w:spacing w:after="0" w:line="15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means, with respect to a Party (on a consolidated basis), that: (a) any Third Party acquires directly or indirectly the legal or beneficial ownership of any voting security of such Party, or if the percentage ownership of such Third Party in the voting securities of such Party is increased through stock redemption, cancellation, or other recapitalization, and immediately after such acquisition or increase such Third Party is, directly or indirectly, the legal or beneficial owner of voting securities representing more than fifty (50%) of the total voting power of all of the then outstanding voting securities of such Party or its ultimate parent, other than through issuances by Party of securities of such Party in a financing transaction or series of</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1" w:name="page192"/>
    <w:bookmarkEnd w:id="191"/>
    <w:p>
      <w:pPr>
        <w:jc w:val="both"/>
        <w:spacing w:after="0" w:line="251" w:lineRule="auto"/>
        <w:rPr>
          <w:sz w:val="20"/>
          <w:szCs w:val="20"/>
          <w:color w:val="auto"/>
        </w:rPr>
      </w:pPr>
      <w:r>
        <w:rPr>
          <w:rFonts w:ascii="Times New Roman" w:cs="Times New Roman" w:eastAsia="Times New Roman" w:hAnsi="Times New Roman"/>
          <w:sz w:val="21"/>
          <w:szCs w:val="21"/>
          <w:color w:val="auto"/>
        </w:rPr>
        <w:t>related financing transactions, (b) a merger, consolidation, recapitalization, or reorganization of such Party is consummated which results in shareholders or equity holders of such Party (or its ultimate parent) immediately prior to such transaction, no longer owning at least fifty (50%) of the outstanding voting securities of the surviving entity (or its parent entity) immediately following such transaction, or (c) there is a sale or transfer to a Third Party of all or substantially all of such Party’s consolidated assets taken as a whole or substantially all of such Party’s business or assets relates, through one or more related transactions.</w:t>
      </w:r>
    </w:p>
    <w:p>
      <w:pPr>
        <w:spacing w:after="0" w:line="16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Clinical Trial</w:t>
      </w:r>
      <w:r>
        <w:rPr>
          <w:rFonts w:ascii="Times New Roman" w:cs="Times New Roman" w:eastAsia="Times New Roman" w:hAnsi="Times New Roman"/>
          <w:sz w:val="22"/>
          <w:szCs w:val="22"/>
          <w:color w:val="auto"/>
        </w:rPr>
        <w:t>” means any clinical investigation conducted on human subjects, as that term is defined in FDA regulations at U.S. 21 C.F.R. § 312.3, or a similar clinical investigation conducted on human subjects, as defined under applicable Law outside the United States, that is designed to generate data in support on an application or submission for a product filed with a Regulatory Authority in a country or group of countries to obtain Regulatory Approval for such product in such country or group of countries.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Closing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Closing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 Milestone Event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Commercial Milestone Payments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 Milestone Payment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Commercial Milestone Payments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Commercially Reasonable Efforts</w:t>
      </w:r>
      <w:r>
        <w:rPr>
          <w:rFonts w:ascii="Times New Roman" w:cs="Times New Roman" w:eastAsia="Times New Roman" w:hAnsi="Times New Roman"/>
          <w:sz w:val="22"/>
          <w:szCs w:val="22"/>
          <w:color w:val="auto"/>
        </w:rPr>
        <w:t>” means, with respect to the efforts to be expended by a Buyer Party with respect to the development of the Products, that level of efforts and resources commonly applied by biotechnology companies [**]. Seller acknowledges that [**].</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 Business Information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Confidentiality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means the Confidential Disclosure Agreement, dated as of February 27, 2025, between Seller and Buyer.</w:t>
      </w:r>
    </w:p>
    <w:p>
      <w:pPr>
        <w:spacing w:after="0" w:line="150"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Contract Expiration Date</w:t>
      </w:r>
      <w:r>
        <w:rPr>
          <w:rFonts w:ascii="Times New Roman" w:cs="Times New Roman" w:eastAsia="Times New Roman" w:hAnsi="Times New Roman"/>
          <w:sz w:val="22"/>
          <w:szCs w:val="22"/>
          <w:color w:val="auto"/>
        </w:rPr>
        <w:t xml:space="preserve">” means, with respect to any Contract, the expiration date of the current term of such Contract, subject to any extensions pursuant to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Transferred Assets Subject to Third-Party Consent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Contracts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clause (iv)</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Annex 9.1(a)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2" w:name="page193"/>
    <w:bookmarkEnd w:id="192"/>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Copyrights</w:t>
      </w:r>
      <w:r>
        <w:rPr>
          <w:rFonts w:ascii="Times New Roman" w:cs="Times New Roman" w:eastAsia="Times New Roman" w:hAnsi="Times New Roman"/>
          <w:sz w:val="22"/>
          <w:szCs w:val="22"/>
          <w:color w:val="auto"/>
        </w:rPr>
        <w:t>” means copyrights and copyrightable works, including all rights of authorship, use, publication, reproduction, distribution, performance, transformation, moral rights and rights of ownership of copyrightable works, and all registrations and rights to register and obtain renewals and extensions of registration, together with all other interests accruing by reason of international copyright.</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Covered by</w:t>
      </w:r>
      <w:r>
        <w:rPr>
          <w:rFonts w:ascii="Times New Roman" w:cs="Times New Roman" w:eastAsia="Times New Roman" w:hAnsi="Times New Roman"/>
          <w:sz w:val="22"/>
          <w:szCs w:val="22"/>
          <w:color w:val="auto"/>
        </w:rPr>
        <w:t>” means, with respect to a Patent Right and a compound or product in a country, that, in the absence of ownership of or a license under such Patent Right, the manufacture, making, use, sale, offer for sale, or import of such compound or product in such country would infringe one or more Valid Claims of such Patent Right.</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Data</w:t>
      </w:r>
      <w:r>
        <w:rPr>
          <w:rFonts w:ascii="Times New Roman" w:cs="Times New Roman" w:eastAsia="Times New Roman" w:hAnsi="Times New Roman"/>
          <w:sz w:val="22"/>
          <w:szCs w:val="22"/>
          <w:color w:val="auto"/>
        </w:rPr>
        <w:t>” means all scientific data of any kind, including clinical and non-clinical data and data relating to chemistry, manufacturing, and controls.</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Data Room</w:t>
      </w:r>
      <w:r>
        <w:rPr>
          <w:rFonts w:ascii="Times New Roman" w:cs="Times New Roman" w:eastAsia="Times New Roman" w:hAnsi="Times New Roman"/>
          <w:sz w:val="22"/>
          <w:szCs w:val="22"/>
          <w:color w:val="auto"/>
        </w:rPr>
        <w:t xml:space="preserve">” means the electronic data room hosted by Progress Share File and entitled “[**]” that was provided by or on behalf of Seller to Buyer, which contains documents and materials relating to the Business, Acquired Molecules, and Acquired Products, as constituted as of 11:00 p.m. (Eastern time) [**] prior to of the Closing Date, the index of which is attached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Determination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Milestone Dispute Notice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Development and Regulatory Milestone Event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Development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Regulatory Milestone Payments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Development and Regulatory Milestone Payment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Development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Regulatory Milestone Payments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Development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1.9(a)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Development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Diligence Expiration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1.8(a)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Diligence Obligation</w:t>
      </w:r>
      <w:r>
        <w:rPr>
          <w:rFonts w:ascii="Times New Roman" w:cs="Times New Roman" w:eastAsia="Times New Roman" w:hAnsi="Times New Roman"/>
          <w:sz w:val="22"/>
          <w:szCs w:val="22"/>
          <w:color w:val="auto"/>
        </w:rPr>
        <w:t>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Divested Assets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Divestitures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Divestiture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Divestitures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Eligible Offset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1.4(e) (</w:t>
      </w:r>
      <w:r>
        <w:rPr>
          <w:rFonts w:ascii="Times New Roman" w:cs="Times New Roman" w:eastAsia="Times New Roman" w:hAnsi="Times New Roman"/>
          <w:sz w:val="22"/>
          <w:szCs w:val="22"/>
          <w:i w:val="1"/>
          <w:iCs w:val="1"/>
          <w:u w:val="single" w:color="auto"/>
          <w:color w:val="auto"/>
        </w:rPr>
        <w:t>Right to Offset</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Law</w:t>
      </w:r>
      <w:r>
        <w:rPr>
          <w:rFonts w:ascii="Times New Roman" w:cs="Times New Roman" w:eastAsia="Times New Roman" w:hAnsi="Times New Roman"/>
          <w:sz w:val="22"/>
          <w:szCs w:val="22"/>
          <w:color w:val="auto"/>
        </w:rPr>
        <w:t>” means any present and future applicable federal, state, and local laws, statutes, ordinances, rules, regulations and the like, as well as common law, (a) relating to</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3" w:name="page194"/>
    <w:bookmarkEnd w:id="193"/>
    <w:p>
      <w:pPr>
        <w:jc w:val="both"/>
        <w:ind w:firstLine="8"/>
        <w:spacing w:after="0" w:line="235" w:lineRule="auto"/>
        <w:tabs>
          <w:tab w:leader="none" w:pos="28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protection of human health (as it relates to Hazardous Substances) or the environment, (ii) Hazardous Substances, or (iii) liability for or costs of actual or threatened danger to the environment, (b) conditioning transfer of property upon a negative declaration or other approval of a Governmental Authority of the environmental condition of any individual property, (c) requiring notification or disclosure of releases of Hazardous Substances or other environmental condition of any individual property to any Governmental Authority or other Person, whether or not in connection with the transfer of title to or interest in such individual property, (d) imposing conditions or requirements in connection with permits or other authorization for lawful activity associated with Hazardous Substances, and (e) related to a nuisance or trespass related to any individual property and associated with Hazardous Substances.</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EU Approval</w:t>
      </w:r>
      <w:r>
        <w:rPr>
          <w:rFonts w:ascii="Times New Roman" w:cs="Times New Roman" w:eastAsia="Times New Roman" w:hAnsi="Times New Roman"/>
          <w:sz w:val="22"/>
          <w:szCs w:val="22"/>
          <w:color w:val="auto"/>
        </w:rPr>
        <w:t xml:space="preserve">” means, with respect to a Product, receipt of Regulatory Approval from the European Commission for such Product in the EU under the centralized EMA filing procedure;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centralized EMA filing procedure is not used, EU Approval will be achieved upon receipt of Regulatory Approval from the applicable Governmental Authority for such Product in any [**] of the following countries: [**].</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Excess Indemnifiable Losses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Indemnification by Seller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Assets</w:t>
      </w:r>
      <w:r>
        <w:rPr>
          <w:rFonts w:ascii="Times New Roman" w:cs="Times New Roman" w:eastAsia="Times New Roman" w:hAnsi="Times New Roman"/>
          <w:sz w:val="22"/>
          <w:szCs w:val="22"/>
          <w:color w:val="auto"/>
        </w:rPr>
        <w:t xml:space="preserve">” means the property of Seller and the Selling Affiliates set forth or described on </w:t>
      </w:r>
      <w:r>
        <w:rPr>
          <w:rFonts w:ascii="Times New Roman" w:cs="Times New Roman" w:eastAsia="Times New Roman" w:hAnsi="Times New Roman"/>
          <w:sz w:val="22"/>
          <w:szCs w:val="22"/>
          <w:u w:val="single" w:color="auto"/>
          <w:color w:val="auto"/>
        </w:rPr>
        <w:t>Annex 9.1(b)</w:t>
      </w:r>
      <w:r>
        <w:rPr>
          <w:rFonts w:ascii="Times New Roman" w:cs="Times New Roman" w:eastAsia="Times New Roman" w:hAnsi="Times New Roman"/>
          <w:sz w:val="22"/>
          <w:szCs w:val="22"/>
          <w:color w:val="auto"/>
        </w:rPr>
        <w:t>, which property is not to be transferred to Buyer hereunder.</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Contracts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clause (vi)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Annex 9.1(b)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Liabilities</w:t>
      </w:r>
      <w:r>
        <w:rPr>
          <w:rFonts w:ascii="Times New Roman" w:cs="Times New Roman" w:eastAsia="Times New Roman" w:hAnsi="Times New Roman"/>
          <w:sz w:val="22"/>
          <w:szCs w:val="22"/>
          <w:color w:val="auto"/>
        </w:rPr>
        <w:t xml:space="preserve">” means all liabilities and obligations of Seller and the Selling Affiliates set forth or described on </w:t>
      </w:r>
      <w:r>
        <w:rPr>
          <w:rFonts w:ascii="Times New Roman" w:cs="Times New Roman" w:eastAsia="Times New Roman" w:hAnsi="Times New Roman"/>
          <w:sz w:val="22"/>
          <w:szCs w:val="22"/>
          <w:u w:val="single" w:color="auto"/>
          <w:color w:val="auto"/>
        </w:rPr>
        <w:t>Annex 9.1(d)</w:t>
      </w:r>
      <w:r>
        <w:rPr>
          <w:rFonts w:ascii="Times New Roman" w:cs="Times New Roman" w:eastAsia="Times New Roman" w:hAnsi="Times New Roman"/>
          <w:sz w:val="22"/>
          <w:szCs w:val="22"/>
          <w:color w:val="auto"/>
        </w:rPr>
        <w:t>, which are not to be assumed by Buyer hereunder.</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Exclusive Period</w:t>
      </w:r>
      <w:r>
        <w:rPr>
          <w:rFonts w:ascii="Times New Roman" w:cs="Times New Roman" w:eastAsia="Times New Roman" w:hAnsi="Times New Roman"/>
          <w:sz w:val="22"/>
          <w:szCs w:val="22"/>
          <w:color w:val="auto"/>
        </w:rPr>
        <w:t xml:space="preserve">” means the period commencing on the Closing Date and ending on the Diligence Expiration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Expert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FDA</w:t>
      </w:r>
      <w:r>
        <w:rPr>
          <w:rFonts w:ascii="Times New Roman" w:cs="Times New Roman" w:eastAsia="Times New Roman" w:hAnsi="Times New Roman"/>
          <w:sz w:val="22"/>
          <w:szCs w:val="22"/>
          <w:color w:val="auto"/>
        </w:rPr>
        <w:t>” means the U.S. Food and Drug Administration or any successor entity thereto.</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Field</w:t>
      </w:r>
      <w:r>
        <w:rPr>
          <w:rFonts w:ascii="Times New Roman" w:cs="Times New Roman" w:eastAsia="Times New Roman" w:hAnsi="Times New Roman"/>
          <w:sz w:val="22"/>
          <w:szCs w:val="22"/>
          <w:color w:val="auto"/>
        </w:rPr>
        <w:t>” means the treatment, prevention or diagnosis of any disease or condition in humans.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Commercial Sale</w:t>
      </w:r>
      <w:r>
        <w:rPr>
          <w:rFonts w:ascii="Times New Roman" w:cs="Times New Roman" w:eastAsia="Times New Roman" w:hAnsi="Times New Roman"/>
          <w:sz w:val="22"/>
          <w:szCs w:val="22"/>
          <w:color w:val="auto"/>
        </w:rPr>
        <w:t xml:space="preserve">” means, on a country-by-country and Product-by-Product basis, the first sale of such Product by a Buyer Party for end use or consumption in such country following receipt of Regulatory Approval of such Product in such country;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none of the following shall constitute a “First Commercial Sale”: (a) any sale, transfer, or use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4" w:name="page195"/>
    <w:bookmarkEnd w:id="194"/>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of such Product in clinical trials or non-clinical development activities with respect to such Product; (b) disposal or transfer of such Product for compassionate use or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charitable purpose; or (c) sales of such Product made on a named patient basis, in early access programs, or for similar uses.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Representations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Survival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generally accepted accounting principles in the United States.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nation or government, any state or other political subdivision thereof, any entity, authority or body exercising executive, legislative, judicial, regulatory or administrative functions of or pertaining to government, any court, tribunal or arbitrator and any self-regulatory organization.</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Hazardous Substance</w:t>
      </w:r>
      <w:r>
        <w:rPr>
          <w:rFonts w:ascii="Times New Roman" w:cs="Times New Roman" w:eastAsia="Times New Roman" w:hAnsi="Times New Roman"/>
          <w:sz w:val="22"/>
          <w:szCs w:val="22"/>
          <w:color w:val="auto"/>
        </w:rPr>
        <w:t>” means any and all material or substance (whether solid, liquid, or gas) defined, listed, regulated or otherwise classified as toxic or hazardous, or as a pollutant or containment, under any applicable Environmental Law.</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Hourly Rate</w:t>
      </w:r>
      <w:r>
        <w:rPr>
          <w:rFonts w:ascii="Times New Roman" w:cs="Times New Roman" w:eastAsia="Times New Roman" w:hAnsi="Times New Roman"/>
          <w:sz w:val="22"/>
          <w:szCs w:val="22"/>
          <w:color w:val="auto"/>
        </w:rPr>
        <w:t>” means the rate of $[**] per hour.</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w:t>
      </w:r>
      <w:r>
        <w:rPr>
          <w:rFonts w:ascii="Times New Roman" w:cs="Times New Roman" w:eastAsia="Times New Roman" w:hAnsi="Times New Roman"/>
          <w:sz w:val="22"/>
          <w:szCs w:val="22"/>
          <w:color w:val="auto"/>
        </w:rPr>
        <w:t>” means an investigational new drug application, Clinical Trial application, Clinical Trial exemption, or similar application or submission filed with or submitted to a Regulatory Authority in a jurisdiction that is necessary to initiate human clinical testing of a pharmaceutical product in such jurisdiction, including any such application filed with the FDA pursuant to 21 C.F.R. Part 312, as well as all supplements, amendments, variations, extensions and renewals thereof that may be filed with respect to the foregoing.</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6.5(a)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Notification of Claims; Third Party Claims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6.5(a)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Notification of Claims; Third Party Claims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Indemnity Threshold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Limitations on Indemnity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Indication</w:t>
      </w:r>
      <w:r>
        <w:rPr>
          <w:rFonts w:ascii="Times New Roman" w:cs="Times New Roman" w:eastAsia="Times New Roman" w:hAnsi="Times New Roman"/>
          <w:sz w:val="22"/>
          <w:szCs w:val="22"/>
          <w:color w:val="auto"/>
        </w:rPr>
        <w:t>” means any distinct disease or condition. For purposes of determining whether a given disease or condition is distinct from another disease or condition so as to constitute a separate Indication and be eligible to trigger a Development and Regulatory Milestone Event based on its being a distinct Indication, the applicable disease or condition must be clearly distinct from any other disease or condition, which means that each applicable disease or condition must bear a distinct reference number under the International Statistical Classification of Diseases and Related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5" w:name="page196"/>
    <w:bookmarkEnd w:id="195"/>
    <w:p>
      <w:pPr>
        <w:jc w:val="both"/>
        <w:spacing w:after="0" w:line="258" w:lineRule="auto"/>
        <w:rPr>
          <w:sz w:val="20"/>
          <w:szCs w:val="20"/>
          <w:color w:val="auto"/>
        </w:rPr>
      </w:pPr>
      <w:r>
        <w:rPr>
          <w:rFonts w:ascii="Times New Roman" w:cs="Times New Roman" w:eastAsia="Times New Roman" w:hAnsi="Times New Roman"/>
          <w:sz w:val="22"/>
          <w:szCs w:val="22"/>
          <w:color w:val="auto"/>
        </w:rPr>
        <w:t>Health Problems codes, such as ICD-11 or any successor thereto, as defined by the World Health Organization, to the left of the decimal point.</w:t>
      </w:r>
    </w:p>
    <w:p>
      <w:pPr>
        <w:spacing w:after="0" w:line="15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Initiation</w:t>
      </w:r>
      <w:r>
        <w:rPr>
          <w:rFonts w:ascii="Times New Roman" w:cs="Times New Roman" w:eastAsia="Times New Roman" w:hAnsi="Times New Roman"/>
          <w:sz w:val="22"/>
          <w:szCs w:val="22"/>
          <w:color w:val="auto"/>
        </w:rPr>
        <w:t>” means, with respect to a Clinical Trial of a Product, the administration of the first dose of such Product to the first patient participating in such Clinical Trial.</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IP Rights</w:t>
      </w:r>
      <w:r>
        <w:rPr>
          <w:rFonts w:ascii="Times New Roman" w:cs="Times New Roman" w:eastAsia="Times New Roman" w:hAnsi="Times New Roman"/>
          <w:sz w:val="22"/>
          <w:szCs w:val="22"/>
          <w:color w:val="auto"/>
        </w:rPr>
        <w:t>” means (a) Patent Rights, (b) Trademarks, (c) Copyrights and (d) trade secrets, Know-How and Data and databases.</w:t>
      </w:r>
    </w:p>
    <w:p>
      <w:pPr>
        <w:spacing w:after="0" w:line="15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Know-How</w:t>
      </w:r>
      <w:r>
        <w:rPr>
          <w:rFonts w:ascii="Times New Roman" w:cs="Times New Roman" w:eastAsia="Times New Roman" w:hAnsi="Times New Roman"/>
          <w:sz w:val="22"/>
          <w:szCs w:val="22"/>
          <w:color w:val="auto"/>
        </w:rPr>
        <w:t>” means (a) any scientific or technical information, results and data of any type whatsoever, in any tangible or intangible form whatsoever, including non-public inventions, discoveries, databases, practices, methods, techniques, specifications, formulations, formulae, knowledge, know-how, trade secrets, skill, experience, test data (including pharmacological, medicinal chemistry, biological, chemical, biochemical, toxicological and clinical test data), analytical and quality control data, stability data, studies and procedures, and manufacturing process and development information, results and data, and (b) any biological, chemical, or physical materials. Know-How expressly excludes Patent Rights.</w:t>
      </w:r>
    </w:p>
    <w:p>
      <w:pPr>
        <w:spacing w:after="0" w:line="17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Knowledge of Seller</w:t>
      </w:r>
      <w:r>
        <w:rPr>
          <w:rFonts w:ascii="Times New Roman" w:cs="Times New Roman" w:eastAsia="Times New Roman" w:hAnsi="Times New Roman"/>
          <w:sz w:val="22"/>
          <w:szCs w:val="22"/>
          <w:color w:val="auto"/>
        </w:rPr>
        <w:t>” means the actual knowledge, as of the date hereof, of the Persons specified in Section 7.1(a) of the Seller Disclosure Letter and the knowledge such Persons would be expected to have after reasonably inquiry.</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Laws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Litigation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 Agreement Novation Agreement</w:t>
      </w:r>
      <w:r>
        <w:rPr>
          <w:rFonts w:ascii="Times New Roman" w:cs="Times New Roman" w:eastAsia="Times New Roman" w:hAnsi="Times New Roman"/>
          <w:sz w:val="22"/>
          <w:szCs w:val="22"/>
          <w:color w:val="auto"/>
        </w:rPr>
        <w:t xml:space="preserve">” means that certain Novation Agreement among the Seller, Buyer, and [**], dated as the date hereof, substantially in the form as attached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IP Contracts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2.9(h)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Intellectual Property).</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w:t>
      </w:r>
      <w:r>
        <w:rPr>
          <w:rFonts w:ascii="Times New Roman" w:cs="Times New Roman" w:eastAsia="Times New Roman" w:hAnsi="Times New Roman"/>
          <w:sz w:val="22"/>
          <w:szCs w:val="22"/>
          <w:color w:val="auto"/>
        </w:rPr>
        <w:t>” means, with respect to any property or asset, any mortgage, lien, pledge, charge, security interest, lease, encumbrance or other adverse claim of any kind in respect of such property or asset.</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Litigation</w:t>
      </w:r>
      <w:r>
        <w:rPr>
          <w:rFonts w:ascii="Times New Roman" w:cs="Times New Roman" w:eastAsia="Times New Roman" w:hAnsi="Times New Roman"/>
          <w:sz w:val="22"/>
          <w:szCs w:val="22"/>
          <w:color w:val="auto"/>
        </w:rPr>
        <w:t>” means any action, demand, suit, arbitration proceeding, administrative or regulatory proceeding, citation, summons or subpoena of any nature, civil, criminal, regulatory or otherwise, in law or in equity.</w:t>
      </w:r>
    </w:p>
    <w:p>
      <w:pPr>
        <w:spacing w:after="0" w:line="150"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Losses</w:t>
      </w:r>
      <w:r>
        <w:rPr>
          <w:rFonts w:ascii="Times New Roman" w:cs="Times New Roman" w:eastAsia="Times New Roman" w:hAnsi="Times New Roman"/>
          <w:sz w:val="21"/>
          <w:szCs w:val="21"/>
          <w:color w:val="auto"/>
        </w:rPr>
        <w:t xml:space="preserve"> ” means any and all damages, judgments, Taxes, awards, liabilities, losses, obligations, claims of any kind or nature, fines and costs and expenses (including reasonable fees and expenses of attorneys, auditors, consultants and other agents).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6" w:name="page197"/>
    <w:bookmarkEnd w:id="196"/>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Adverse Effect</w:t>
      </w:r>
      <w:r>
        <w:rPr>
          <w:rFonts w:ascii="Times New Roman" w:cs="Times New Roman" w:eastAsia="Times New Roman" w:hAnsi="Times New Roman"/>
          <w:sz w:val="22"/>
          <w:szCs w:val="22"/>
          <w:color w:val="auto"/>
        </w:rPr>
        <w:t xml:space="preserve">” means any material adverse change in, or effect on, the Transferred Assets or the financial condition, results of operations, or prospects of the Business, taken as a whole;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change or effect resulting from any of the following, individually or in the aggregate, shall not be considered when determining whether a Material Adverse Effect has occurred: [**].</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Contract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Material Contracts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Milestone Dispute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Milestone Dispute Notice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Sales</w:t>
      </w:r>
      <w:r>
        <w:rPr>
          <w:rFonts w:ascii="Times New Roman" w:cs="Times New Roman" w:eastAsia="Times New Roman" w:hAnsi="Times New Roman"/>
          <w:sz w:val="22"/>
          <w:szCs w:val="22"/>
          <w:color w:val="auto"/>
        </w:rPr>
        <w:t>” means the [**].</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Order</w:t>
      </w:r>
      <w:r>
        <w:rPr>
          <w:rFonts w:ascii="Times New Roman" w:cs="Times New Roman" w:eastAsia="Times New Roman" w:hAnsi="Times New Roman"/>
          <w:sz w:val="22"/>
          <w:szCs w:val="22"/>
          <w:color w:val="auto"/>
        </w:rPr>
        <w:t>” means any order, writ, judgment, injunction, decree, ruling, assessment, stipulation, determination or award entered by or with any court or other Governmental Authority or arbitrator.</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Organizational Documents</w:t>
      </w:r>
      <w:r>
        <w:rPr>
          <w:rFonts w:ascii="Times New Roman" w:cs="Times New Roman" w:eastAsia="Times New Roman" w:hAnsi="Times New Roman"/>
          <w:sz w:val="22"/>
          <w:szCs w:val="22"/>
          <w:color w:val="auto"/>
        </w:rPr>
        <w:t>” means the articles of incorporation, constitution, certificate of incorporation, charter, bylaws, articles of formation, certificate of formation, regulations, operating agreement, certificate of limited partnership, partnership agreement and all other similar documents, instruments or certificates executed, adopted or filed in connection with the creation, formation or organization of a Person, including any amendments thereto.</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Patent Assignment</w:t>
      </w:r>
      <w:r>
        <w:rPr>
          <w:rFonts w:ascii="Times New Roman" w:cs="Times New Roman" w:eastAsia="Times New Roman" w:hAnsi="Times New Roman"/>
          <w:sz w:val="22"/>
          <w:szCs w:val="22"/>
          <w:color w:val="auto"/>
        </w:rPr>
        <w:t xml:space="preserve">” means that certain patent assignment between the Parties substantially in the form as attached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Patent Rights</w:t>
      </w:r>
      <w:r>
        <w:rPr>
          <w:rFonts w:ascii="Times New Roman" w:cs="Times New Roman" w:eastAsia="Times New Roman" w:hAnsi="Times New Roman"/>
          <w:sz w:val="22"/>
          <w:szCs w:val="22"/>
          <w:color w:val="auto"/>
        </w:rPr>
        <w:t>” means patents (as well as the relevant complementary protection certificates where applicable) and patent applications (including any divisions, continuations, continuations-in-part, provisional applications, reexamined versions or reissues thereof) whether or not patents are issued on any such applications and whether or not any such applications are modified, withdrawn or resubmitted.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Compliance with Laws; Licenses and Permits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Liens</w:t>
      </w:r>
      <w:r>
        <w:rPr>
          <w:rFonts w:ascii="Times New Roman" w:cs="Times New Roman" w:eastAsia="Times New Roman" w:hAnsi="Times New Roman"/>
          <w:sz w:val="22"/>
          <w:szCs w:val="22"/>
          <w:color w:val="auto"/>
        </w:rPr>
        <w:t>” means (a) mechanics’, carriers’, workers’, repairers’ and similar statutory liens arising or incurred in the ordinary course of business or in connection with construction contracts for amounts that are not delinquent or are being contested in good faith and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7" w:name="page198"/>
    <w:bookmarkEnd w:id="197"/>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that would not individually or in the aggregate be materially adverse to the Business, and (b) any liens arising or incurred by the terms and conditions of the Transferred Contracts set forth on </w:t>
      </w:r>
      <w:r>
        <w:rPr>
          <w:rFonts w:ascii="Times New Roman" w:cs="Times New Roman" w:eastAsia="Times New Roman" w:hAnsi="Times New Roman"/>
          <w:sz w:val="22"/>
          <w:szCs w:val="22"/>
          <w:u w:val="single" w:color="auto"/>
          <w:color w:val="auto"/>
        </w:rPr>
        <w:t>Annex 9.1(a)(vi)</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corporation, partnership, limited liability company, association, trust or other entity or organization, including a government or political subdivision or an agency or instrumentality thereof.</w:t>
      </w:r>
    </w:p>
    <w:p>
      <w:pPr>
        <w:spacing w:after="0" w:line="15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Phase 2 Clinical Trial</w:t>
      </w:r>
      <w:r>
        <w:rPr>
          <w:rFonts w:ascii="Times New Roman" w:cs="Times New Roman" w:eastAsia="Times New Roman" w:hAnsi="Times New Roman"/>
          <w:sz w:val="22"/>
          <w:szCs w:val="22"/>
          <w:color w:val="auto"/>
        </w:rPr>
        <w:t>” means any Clinical Trial of the effectiveness of a product for a particular indication or indications in patients with the disease or condition under study and to determine the short-term side effects and risks associated with such product and with the purpose to obtain sufficient information about the Product’s efficacy to permit the design of Phase 3 Clinical Trials, and which is consistent with 21 C.F.R. § 312.21(b) or a comparable clinical study requested by the relevant Regulatory Authority in a country other than the United States, including a phase 2a Clinical Trial, phase 2b Clinical Trial, the second portion of a phase 1/2 Clinical Trial or the first portion of a phase 2/3 Clinical Trial.</w:t>
      </w:r>
    </w:p>
    <w:p>
      <w:pPr>
        <w:spacing w:after="0" w:line="17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Phase 3 Clinical Trial</w:t>
      </w:r>
      <w:r>
        <w:rPr>
          <w:rFonts w:ascii="Times New Roman" w:cs="Times New Roman" w:eastAsia="Times New Roman" w:hAnsi="Times New Roman"/>
          <w:sz w:val="22"/>
          <w:szCs w:val="22"/>
          <w:color w:val="auto"/>
        </w:rPr>
        <w:t>” means a Clinical Trial of the efficacy and safety of a product, which is prospectively designed to demonstrate statistically whether such product is effective and safe for use in a particular Indication in a manner with the aim to obtain Regulatory Approval for such Product in any country, as described in 21 C.F.R. § 312.21(c) or a comparable clinical study requested by the relevant Regulatory Authority in a country other than the United States, including the second portion of a phase 2/3 Clinical Trial.</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Post-Closing Covenant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Post-Closing Tax Period</w:t>
      </w:r>
      <w:r>
        <w:rPr>
          <w:rFonts w:ascii="Times New Roman" w:cs="Times New Roman" w:eastAsia="Times New Roman" w:hAnsi="Times New Roman"/>
          <w:sz w:val="22"/>
          <w:szCs w:val="22"/>
          <w:color w:val="auto"/>
        </w:rPr>
        <w:t>” means any taxable period beginning after the Closing Date and the portion of a Straddle Period beginning after the Closing Date.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Potential Contributor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6.4(g).</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Pre-Closing Accounts Payable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Annex 9.1(d)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Pre-Closing Accounts Receivable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Annex 9.1(b)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Pre-Closing Tax Period</w:t>
      </w:r>
      <w:r>
        <w:rPr>
          <w:rFonts w:ascii="Times New Roman" w:cs="Times New Roman" w:eastAsia="Times New Roman" w:hAnsi="Times New Roman"/>
          <w:sz w:val="22"/>
          <w:szCs w:val="22"/>
          <w:color w:val="auto"/>
        </w:rPr>
        <w:t>” means any Tax period ending on or before the Closing Date and the portion of the Straddle Period ending at the completion of the Closing Date.</w:t>
      </w:r>
    </w:p>
    <w:p>
      <w:pPr>
        <w:spacing w:after="0" w:line="150"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w:t>
      </w:r>
      <w:r>
        <w:rPr>
          <w:rFonts w:ascii="Times New Roman" w:cs="Times New Roman" w:eastAsia="Times New Roman" w:hAnsi="Times New Roman"/>
          <w:sz w:val="22"/>
          <w:szCs w:val="22"/>
          <w:color w:val="auto"/>
        </w:rPr>
        <w:t>” means any Acquired Product that incorporates, constitutes or contains an Acquired Molecule that is either (a) ADX-097, including its peptide and nucleic acid sequences, and any fragments, variants and derivatives, and modified (including post-translationally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8" w:name="page199"/>
    <w:bookmarkEnd w:id="198"/>
    <w:p>
      <w:pPr>
        <w:jc w:val="both"/>
        <w:spacing w:after="0" w:line="258" w:lineRule="auto"/>
        <w:rPr>
          <w:sz w:val="20"/>
          <w:szCs w:val="20"/>
          <w:color w:val="auto"/>
        </w:rPr>
      </w:pPr>
      <w:r>
        <w:rPr>
          <w:rFonts w:ascii="Times New Roman" w:cs="Times New Roman" w:eastAsia="Times New Roman" w:hAnsi="Times New Roman"/>
          <w:sz w:val="22"/>
          <w:szCs w:val="22"/>
          <w:color w:val="auto"/>
        </w:rPr>
        <w:t>modified) forms thereof or (b) Covered by [**], in each case ((a) and (b)), in any formulation or dosage strength. For clarity, any [**] is not a Product.</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Proposal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 xml:space="preserve">” means the aggregate of all consideration paid or payable to Seller pursuant to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Purchase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Price</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Regulatory Approval</w:t>
      </w:r>
      <w:r>
        <w:rPr>
          <w:rFonts w:ascii="Times New Roman" w:cs="Times New Roman" w:eastAsia="Times New Roman" w:hAnsi="Times New Roman"/>
          <w:sz w:val="21"/>
          <w:szCs w:val="21"/>
          <w:color w:val="auto"/>
        </w:rPr>
        <w:t>” means approval of a Regulatory Approval Application by the applicable Regulatory Authority.</w:t>
      </w:r>
    </w:p>
    <w:p>
      <w:pPr>
        <w:spacing w:after="0" w:line="21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Approval Application</w:t>
      </w:r>
      <w:r>
        <w:rPr>
          <w:rFonts w:ascii="Times New Roman" w:cs="Times New Roman" w:eastAsia="Times New Roman" w:hAnsi="Times New Roman"/>
          <w:sz w:val="22"/>
          <w:szCs w:val="22"/>
          <w:color w:val="auto"/>
        </w:rPr>
        <w:t>” means: (a) a New Drug Application (as more fully defined in 21 CFR 314.5, et seq.) filed with the FDA, or any successor application thereto in the U.S. (“</w:t>
      </w:r>
      <w:r>
        <w:rPr>
          <w:rFonts w:ascii="Times New Roman" w:cs="Times New Roman" w:eastAsia="Times New Roman" w:hAnsi="Times New Roman"/>
          <w:sz w:val="22"/>
          <w:szCs w:val="22"/>
          <w:b w:val="1"/>
          <w:bCs w:val="1"/>
          <w:color w:val="auto"/>
        </w:rPr>
        <w:t>NDA</w:t>
      </w:r>
      <w:r>
        <w:rPr>
          <w:rFonts w:ascii="Times New Roman" w:cs="Times New Roman" w:eastAsia="Times New Roman" w:hAnsi="Times New Roman"/>
          <w:sz w:val="22"/>
          <w:szCs w:val="22"/>
          <w:color w:val="auto"/>
        </w:rPr>
        <w:t>”) or a Biologics License Application submitted to the FDA pursuant to Section 351(a) of the Public Health Service Act (“</w:t>
      </w:r>
      <w:r>
        <w:rPr>
          <w:rFonts w:ascii="Times New Roman" w:cs="Times New Roman" w:eastAsia="Times New Roman" w:hAnsi="Times New Roman"/>
          <w:sz w:val="22"/>
          <w:szCs w:val="22"/>
          <w:b w:val="1"/>
          <w:bCs w:val="1"/>
          <w:color w:val="auto"/>
        </w:rPr>
        <w:t>BLA</w:t>
      </w:r>
      <w:r>
        <w:rPr>
          <w:rFonts w:ascii="Times New Roman" w:cs="Times New Roman" w:eastAsia="Times New Roman" w:hAnsi="Times New Roman"/>
          <w:sz w:val="22"/>
          <w:szCs w:val="22"/>
          <w:color w:val="auto"/>
        </w:rPr>
        <w:t>”); (b) an application for authorization to market or sell a pharmaceutical or biological product submitted to a Regulatory Authority in any country or jurisdiction other than the U.S., including, with respect to the EU, a marketing authorization application filed with the EMA pursuant to the Centralized Approval Procedure or with the applicable Regulatory Authority of a country in the European Economic Area with respect to the decentralized procedure, mutual recognition procedure, or any national approval procedure (“</w:t>
      </w:r>
      <w:r>
        <w:rPr>
          <w:rFonts w:ascii="Times New Roman" w:cs="Times New Roman" w:eastAsia="Times New Roman" w:hAnsi="Times New Roman"/>
          <w:sz w:val="22"/>
          <w:szCs w:val="22"/>
          <w:b w:val="1"/>
          <w:bCs w:val="1"/>
          <w:color w:val="auto"/>
        </w:rPr>
        <w:t>MAA</w:t>
      </w:r>
      <w:r>
        <w:rPr>
          <w:rFonts w:ascii="Times New Roman" w:cs="Times New Roman" w:eastAsia="Times New Roman" w:hAnsi="Times New Roman"/>
          <w:sz w:val="22"/>
          <w:szCs w:val="22"/>
          <w:color w:val="auto"/>
        </w:rPr>
        <w:t>”); or (c) with respect to any product for which a NDA, BLA or MAA has been approved by the applicable Regulatory Authority, an application to supplement or amend such NDA, BLA or MAA to expand the approved label for such pharmaceutical or biological product to include use of such pharmaceutical or biological product for an additional indication.</w:t>
      </w:r>
    </w:p>
    <w:p>
      <w:pPr>
        <w:spacing w:after="0" w:line="17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with respect to a country in the Territory, any national, supra-national, regional, state or local regulatory agency, department, bureau, commission, council or other Governmental Authority involved in assessing or granting Regulatory Approvals (including pricing approvals) for pharmaceutical products in such country, including the FDA in the United States, the European Commission (and any successor entity thereto) in the European Union, [**] and any corresponding national or regional regulatory authorities in any country that is a counterpart to the foregoing agencies.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Royalties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Royalties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Royalty Report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1.4(c)(vi)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Royalty Payments and Reports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1.4(c)(ii)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Royalty Term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Scientific Expert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Milestone Dispute Notice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9" w:name="page200"/>
    <w:bookmarkEnd w:id="199"/>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Securitization Transaction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8.5(b)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Securitization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Security Interest Release</w:t>
      </w:r>
      <w:r>
        <w:rPr>
          <w:rFonts w:ascii="Times New Roman" w:cs="Times New Roman" w:eastAsia="Times New Roman" w:hAnsi="Times New Roman"/>
          <w:sz w:val="22"/>
          <w:szCs w:val="22"/>
          <w:color w:val="auto"/>
        </w:rPr>
        <w:t>” means evidence provided by Seller, in a form reasonably acceptable to Buyer, that First-Citizens Bank and Trust Company releases its security interest in all rights, title, and interests in and to the Transferred Assets.</w:t>
      </w:r>
    </w:p>
    <w:p>
      <w:pPr>
        <w:spacing w:after="0" w:line="1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Segregate</w:t>
      </w:r>
      <w:r>
        <w:rPr>
          <w:rFonts w:ascii="Times New Roman" w:cs="Times New Roman" w:eastAsia="Times New Roman" w:hAnsi="Times New Roman"/>
          <w:sz w:val="22"/>
          <w:szCs w:val="22"/>
          <w:color w:val="auto"/>
        </w:rPr>
        <w:t>” means, with respect to any Seller COC Program or Seller Acquisition Program, systems and safeguards to segregate the use of Transferred Know-How or other confidential information of Buyer or the Buyer Parties and the practice, use, or exploitation of any Transferred Assets from the activities conducted under any Seller COC Program or Seller Acquisition Program, including ensuring that: [**]. When used as a noun, “Segregation” means any and all activities involved in Segregating any Seller COC Program or Seller Acquisition Program.</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Selected Scientific Expert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Milestone Dispute Notice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that certain [**], which will be assigned by Buyer to Seller as a Transferred Contract in accordance with this Agreement.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 Acquisition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4.14(d)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Competition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 Acquisition Program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4.14(d)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Competition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 COC Program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4.14(b)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Competition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 Disclosure Letter</w:t>
      </w:r>
      <w:r>
        <w:rPr>
          <w:rFonts w:ascii="Times New Roman" w:cs="Times New Roman" w:eastAsia="Times New Roman" w:hAnsi="Times New Roman"/>
          <w:sz w:val="22"/>
          <w:szCs w:val="22"/>
          <w:color w:val="auto"/>
        </w:rPr>
        <w:t>” means the letter, dated as of the date hereof, delivered by Seller to Buyer prior to the execution of this Agreement and identified as the Seller Disclosure Letter.</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 Indemnitees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Indemnification by Buyer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Selling Affiliates</w:t>
      </w:r>
      <w:r>
        <w:rPr>
          <w:rFonts w:ascii="Times New Roman" w:cs="Times New Roman" w:eastAsia="Times New Roman" w:hAnsi="Times New Roman"/>
          <w:sz w:val="22"/>
          <w:szCs w:val="22"/>
          <w:color w:val="auto"/>
        </w:rPr>
        <w:t>” means all of the Affiliates of Seller that own any Transferred Assets or have obligations or liabilities in respect of any Assumed Liabilities.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Separated Contract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Shared Contracts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Shared Academic Contracts</w:t>
      </w:r>
      <w:r>
        <w:rPr>
          <w:rFonts w:ascii="Times New Roman" w:cs="Times New Roman" w:eastAsia="Times New Roman" w:hAnsi="Times New Roman"/>
          <w:sz w:val="22"/>
          <w:szCs w:val="22"/>
          <w:color w:val="auto"/>
        </w:rPr>
        <w:t>” means the Shared Contracts listed on Section 9.1(b)(vi)(4) of the Seller Disclosure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Letter.</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0" w:name="page201"/>
    <w:bookmarkEnd w:id="200"/>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Shared Academic Contract Know How</w:t>
      </w:r>
      <w:r>
        <w:rPr>
          <w:rFonts w:ascii="Times New Roman" w:cs="Times New Roman" w:eastAsia="Times New Roman" w:hAnsi="Times New Roman"/>
          <w:sz w:val="22"/>
          <w:szCs w:val="22"/>
          <w:color w:val="auto"/>
        </w:rPr>
        <w:t>” means, with respect to a given Shared Academic Contract, any Know How licensed or otherwise made available to Seller under such Shared Academic Contract.</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Shared Contract</w:t>
      </w:r>
      <w:r>
        <w:rPr>
          <w:rFonts w:ascii="Times New Roman" w:cs="Times New Roman" w:eastAsia="Times New Roman" w:hAnsi="Times New Roman"/>
          <w:sz w:val="22"/>
          <w:szCs w:val="22"/>
          <w:color w:val="auto"/>
        </w:rPr>
        <w:t>” means each Contract that relates to both (a) the Business, the development, manufacture, commercialization, or other exploitation of any Acquired Molecule or Acquired Product, or any Transferred Assets and (b) one or more other businesses or products of Seller or any Selling Affiliate, including the Contracts listed on Section 9.1(a)(vi) of the Seller Disclosure Letter and clearly labeled as “Shared Contracts”.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Solvent</w:t>
      </w:r>
      <w:r>
        <w:rPr>
          <w:rFonts w:ascii="Times New Roman" w:cs="Times New Roman" w:eastAsia="Times New Roman" w:hAnsi="Times New Roman"/>
          <w:sz w:val="22"/>
          <w:szCs w:val="22"/>
          <w:color w:val="auto"/>
        </w:rPr>
        <w:t>” means, with respect to any Person, that:</w:t>
      </w:r>
    </w:p>
    <w:p>
      <w:pPr>
        <w:spacing w:after="0" w:line="210" w:lineRule="exact"/>
        <w:rPr>
          <w:sz w:val="20"/>
          <w:szCs w:val="20"/>
          <w:color w:val="auto"/>
        </w:rPr>
      </w:pPr>
    </w:p>
    <w:p>
      <w:pPr>
        <w:jc w:val="both"/>
        <w:ind w:right="20" w:firstLine="1505"/>
        <w:spacing w:after="0" w:line="261" w:lineRule="auto"/>
        <w:tabs>
          <w:tab w:leader="none" w:pos="2036"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saleable value (determined on a going-concern basis) of the assets of such Person shall be greater than the total amount of such Person’s liabilities (including all liabilities, whether or not reflected in a balance sheet prepared in accordance with GAAP and whether direct or indirect, fixed or contingent, secured or unsecured, disputed or undisputed);</w:t>
      </w:r>
    </w:p>
    <w:p>
      <w:pPr>
        <w:spacing w:after="0" w:line="157"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shall be able to pay its debts and obligations in the ordinary course of business as they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 due; and</w:t>
      </w:r>
    </w:p>
    <w:p>
      <w:pPr>
        <w:spacing w:after="0" w:line="182"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Person shall have adequate capital to carry on its businesses and all businesses in which it is about to</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engage.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Straddle Period</w:t>
      </w:r>
      <w:r>
        <w:rPr>
          <w:rFonts w:ascii="Times New Roman" w:cs="Times New Roman" w:eastAsia="Times New Roman" w:hAnsi="Times New Roman"/>
          <w:sz w:val="22"/>
          <w:szCs w:val="22"/>
          <w:color w:val="auto"/>
        </w:rPr>
        <w:t>” means any Tax period that includes, but does not end on, the Closing Date.</w:t>
      </w:r>
    </w:p>
    <w:p>
      <w:pPr>
        <w:spacing w:after="0" w:line="206"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(Sub)license Income</w:t>
      </w:r>
      <w:r>
        <w:rPr>
          <w:rFonts w:ascii="Times New Roman" w:cs="Times New Roman" w:eastAsia="Times New Roman" w:hAnsi="Times New Roman"/>
          <w:sz w:val="22"/>
          <w:szCs w:val="22"/>
          <w:color w:val="auto"/>
        </w:rPr>
        <w:t>” means consideration in any form received by Buyer or its Affiliates from or on behalf of any (Sub)licensee that is granted rights [**] in return for the grant of such license or sublicense outside the United States, including</w:t>
      </w:r>
    </w:p>
    <w:p>
      <w:pPr>
        <w:spacing w:after="0" w:line="2" w:lineRule="exact"/>
        <w:rPr>
          <w:sz w:val="20"/>
          <w:szCs w:val="20"/>
          <w:color w:val="auto"/>
        </w:rPr>
      </w:pPr>
    </w:p>
    <w:p>
      <w:pPr>
        <w:jc w:val="both"/>
        <w:ind w:firstLine="8"/>
        <w:spacing w:after="0" w:line="247" w:lineRule="auto"/>
        <w:tabs>
          <w:tab w:leader="none" w:pos="327"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upfront payments, regulatory approval milestone payments, commercial sales milestone payments, and royalties or profit share payments, and (b) payments for options for a license or sublicense or for the exercise of such options. (Sub)license Income shall not include [**]. For the avoidance of doubt, (Sub)license Income shall not apply to any sale of all or substantially all of Buyer’s assets related to the Business, whether by merger, sale of assets, or otherwise or to a Change of Control of Buyer.</w:t>
      </w:r>
    </w:p>
    <w:p>
      <w:pPr>
        <w:spacing w:after="0" w:line="166"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(Sub)licensee</w:t>
      </w:r>
      <w:r>
        <w:rPr>
          <w:rFonts w:ascii="Times New Roman" w:cs="Times New Roman" w:eastAsia="Times New Roman" w:hAnsi="Times New Roman"/>
          <w:sz w:val="21"/>
          <w:szCs w:val="21"/>
          <w:color w:val="auto"/>
        </w:rPr>
        <w:t>” means any Third Party to which Buyer or an Affiliate of Buyer, directly or indirectly, grants a license the right to develop, use, import, promote, offer for sale, sell, have sold, and/or otherwise commercialize any Product. For clarity,</w:t>
      </w:r>
    </w:p>
    <w:p>
      <w:pPr>
        <w:spacing w:after="0" w:line="12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(Sub)licensee</w:t>
      </w:r>
      <w:r>
        <w:rPr>
          <w:rFonts w:ascii="Times New Roman" w:cs="Times New Roman" w:eastAsia="Times New Roman" w:hAnsi="Times New Roman"/>
          <w:sz w:val="22"/>
          <w:szCs w:val="22"/>
          <w:color w:val="auto"/>
        </w:rPr>
        <w:t>” excludes wholesalers, distributors, contract research organizations, contract manufacturing organizations, contract development and manufacturing organizations, and other service providers.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1" w:name="page202"/>
    <w:bookmarkEnd w:id="201"/>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with respect to any Person, any entity of which securities or other ownership interests (a) having voting power to elect a majority of the board of directors or other persons performing similar functions or (b) representing more than fifty percent of such securities or ownership interests are at the time directly or indirectly owned by such Person.</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Support Memo</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Tax</w:t>
      </w:r>
      <w:r>
        <w:rPr>
          <w:rFonts w:ascii="Times New Roman" w:cs="Times New Roman" w:eastAsia="Times New Roman" w:hAnsi="Times New Roman"/>
          <w:sz w:val="21"/>
          <w:szCs w:val="21"/>
          <w:color w:val="auto"/>
        </w:rPr>
        <w:t>” means any federal, state, local or foreign income, alternative, minimum, accumulated earnings, personal holding company, franchise, capital stock, profits, windfall profits, gross receipts, sales, use, goods and services, value added, transfer, registration, stamp, premium, excise, severance, real property, personal property, ad valorem, occupancy, license, occupation, employment, payroll, social security, disability, unemployment, workers’ compensation, withholding, estimated or other charge, assessment, or other expense in the nature of or similar to a tax (including all interest and penalties thereon and additions thereto).</w:t>
      </w:r>
    </w:p>
    <w:p>
      <w:pPr>
        <w:spacing w:after="0" w:line="163"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Proceeding</w:t>
      </w:r>
      <w:r>
        <w:rPr>
          <w:rFonts w:ascii="Times New Roman" w:cs="Times New Roman" w:eastAsia="Times New Roman" w:hAnsi="Times New Roman"/>
          <w:sz w:val="22"/>
          <w:szCs w:val="22"/>
          <w:color w:val="auto"/>
        </w:rPr>
        <w:t>” means any audit, request for information, investigation, hearing, litigation, legal action, or judicial contest relating to Taxes.</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Return</w:t>
      </w:r>
      <w:r>
        <w:rPr>
          <w:rFonts w:ascii="Times New Roman" w:cs="Times New Roman" w:eastAsia="Times New Roman" w:hAnsi="Times New Roman"/>
          <w:sz w:val="22"/>
          <w:szCs w:val="22"/>
          <w:color w:val="auto"/>
        </w:rPr>
        <w:t>” means any federal, state, local or foreign tax return, declaration, statement, report, schedule, form or information return or any amendment to any of the foregoing relating to Taxes.</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Taxing Authority</w:t>
      </w:r>
      <w:r>
        <w:rPr>
          <w:rFonts w:ascii="Times New Roman" w:cs="Times New Roman" w:eastAsia="Times New Roman" w:hAnsi="Times New Roman"/>
          <w:sz w:val="22"/>
          <w:szCs w:val="22"/>
          <w:color w:val="auto"/>
        </w:rPr>
        <w:t>” means any Governmental Authority exercising any authority to collect, impose, regulate or administer the imposition of Taxes.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Territory</w:t>
      </w:r>
      <w:r>
        <w:rPr>
          <w:rFonts w:ascii="Times New Roman" w:cs="Times New Roman" w:eastAsia="Times New Roman" w:hAnsi="Times New Roman"/>
          <w:sz w:val="22"/>
          <w:szCs w:val="22"/>
          <w:color w:val="auto"/>
        </w:rPr>
        <w:t>” means anywhere in the world.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 means, after the Closing, any Person other than Buyer or an Affiliate of Buyer.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Claim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6.5(b)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Notification of Claims; Third Party Claims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Trademarks</w:t>
      </w:r>
      <w:r>
        <w:rPr>
          <w:rFonts w:ascii="Times New Roman" w:cs="Times New Roman" w:eastAsia="Times New Roman" w:hAnsi="Times New Roman"/>
          <w:sz w:val="22"/>
          <w:szCs w:val="22"/>
          <w:color w:val="auto"/>
        </w:rPr>
        <w:t>” means trademarks, service marks, trade names, trade dress, logos, slogans, and other similar designations of source or origin, together with the goodwill associated with any of the foregoing, and all applications, registrations and renewals therefor.</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 Approval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1.1(g)(i)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Transferred Assets Subject to Third-Party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Consent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Transfer Plan; Transition Assistance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2" w:name="page203"/>
    <w:bookmarkEnd w:id="202"/>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 Taxes</w:t>
      </w:r>
      <w:r>
        <w:rPr>
          <w:rFonts w:ascii="Times New Roman" w:cs="Times New Roman" w:eastAsia="Times New Roman" w:hAnsi="Times New Roman"/>
          <w:sz w:val="22"/>
          <w:szCs w:val="22"/>
          <w:color w:val="auto"/>
        </w:rPr>
        <w:t>” mean any federal, state, county, local, foreign and other sales, use, transfer, goods and services, value added, conveyance, documentary transfer, stamp duty, recording or other similar Tax, fee or charge imposed on or in connection with the transactions contemplated by or the instruments executed under or in connection with this Agreement or the recording of any sale, transfer, or assignment of property (or any interest therein) effected pursuant to this Agreement.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Divestitures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Transferred Academic Contracts</w:t>
      </w:r>
      <w:r>
        <w:rPr>
          <w:rFonts w:ascii="Times New Roman" w:cs="Times New Roman" w:eastAsia="Times New Roman" w:hAnsi="Times New Roman"/>
          <w:sz w:val="22"/>
          <w:szCs w:val="22"/>
          <w:color w:val="auto"/>
        </w:rPr>
        <w:t>” means the Transferred Contracts listed on Section 9.1(a)(vi)(3) of the Seller Disclosure Letter.</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Transferred Academic Contract Know How</w:t>
      </w:r>
      <w:r>
        <w:rPr>
          <w:rFonts w:ascii="Times New Roman" w:cs="Times New Roman" w:eastAsia="Times New Roman" w:hAnsi="Times New Roman"/>
          <w:sz w:val="22"/>
          <w:szCs w:val="22"/>
          <w:color w:val="auto"/>
        </w:rPr>
        <w:t>” means, with respect to a given Transferred Academic Contract, any Know How licensed or otherwise made available to Buyer under such Transferred Academic Contract.</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Transferred Assets</w:t>
      </w:r>
      <w:r>
        <w:rPr>
          <w:rFonts w:ascii="Times New Roman" w:cs="Times New Roman" w:eastAsia="Times New Roman" w:hAnsi="Times New Roman"/>
          <w:sz w:val="22"/>
          <w:szCs w:val="22"/>
          <w:color w:val="auto"/>
        </w:rPr>
        <w:t xml:space="preserve">” means the assets and other personal property of Seller and the Selling Affiliates related to the Business set forth or described on </w:t>
      </w:r>
      <w:r>
        <w:rPr>
          <w:rFonts w:ascii="Times New Roman" w:cs="Times New Roman" w:eastAsia="Times New Roman" w:hAnsi="Times New Roman"/>
          <w:sz w:val="22"/>
          <w:szCs w:val="22"/>
          <w:u w:val="single" w:color="auto"/>
          <w:color w:val="auto"/>
        </w:rPr>
        <w:t>Annex 9.1(a)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Transferred Contracts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clause (v)</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Annex 9.1(a)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Transferred IP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clause (vii)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Annex 9.1(a)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Transferred Know-How</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clause (vii)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Annex 9.1(a)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Transferred Materials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clause (vi)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Annex 9.1(a)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Transferred Patent Rights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clause (vii)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Annex 9.1(a)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Transition Assistance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Transfer Plan; Transition Assistance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Unassigned Right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1.1(g)(i)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Transferred Assets Subject to Third-Party Consent</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Upfront Cap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6.4(a)</w:t>
      </w:r>
      <w:r>
        <w:rPr>
          <w:rFonts w:ascii="Times New Roman" w:cs="Times New Roman" w:eastAsia="Times New Roman" w:hAnsi="Times New Roman"/>
          <w:sz w:val="22"/>
          <w:szCs w:val="22"/>
          <w:color w:val="auto"/>
        </w:rPr>
        <w:t xml:space="preserve"> (Limitations on Liability).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Upfront Closing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1.3(a)(i)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Purchase Price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Upfront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1.3(a)(ii)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Purchase Price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3" w:name="page204"/>
    <w:bookmarkEnd w:id="203"/>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Upfront Second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1.3(a)(i)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Purchase Price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Upstream License Agreement</w:t>
      </w:r>
      <w:r>
        <w:rPr>
          <w:rFonts w:ascii="Times New Roman" w:cs="Times New Roman" w:eastAsia="Times New Roman" w:hAnsi="Times New Roman"/>
          <w:sz w:val="22"/>
          <w:szCs w:val="22"/>
          <w:color w:val="auto"/>
        </w:rPr>
        <w:t>” means each of the A&amp;R License Agreement or the [**], as applicable.</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Valid Claim</w:t>
      </w:r>
      <w:r>
        <w:rPr>
          <w:rFonts w:ascii="Times New Roman" w:cs="Times New Roman" w:eastAsia="Times New Roman" w:hAnsi="Times New Roman"/>
          <w:sz w:val="22"/>
          <w:szCs w:val="22"/>
          <w:color w:val="auto"/>
        </w:rPr>
        <w:t xml:space="preserve">” means a claim of (a) an issued, unexpired patent that has not been revoked or held unenforceable or invalid by a decision of a court or governmental agency of competent jurisdiction from which no appeal can be taken, or with respect to which an appeal is not taken within the time allowed for appeal, and that has not been disclaimed or admitted to be invalid or unenforceable through reissue, disclaimer or otherwise, or (b) any patent application that has not been cancelled, withdrawn or abandoned, without being re-filed in another application in the applicable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patent application pending for more than [**] from the priority date with respect thereto will not be considered to have any Valid Claim for purposes of this Agreement, unless and until a patent that meets the criteria set forth in clause (a) above issues from such application.</w:t>
      </w:r>
    </w:p>
    <w:p>
      <w:pPr>
        <w:spacing w:after="0" w:line="182"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Section 7.2</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Exhibits are to Articles, Section and Exhibits of this Agreement unless otherwise specified. All Exhibits and Disclosure Letters annexed hereto or referred to herein are hereby incorporated in and made a part of this Agreement as if set forth in full herein. Any capitalized term used in any Exhibit or the Seller’s Disclosure Letter but not otherwise defined therein shall have the meaning given to such term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Any reference to “days” means calendar days unless Business Days are expressly specified. If any action under this Agreement is required to be done or taken on a day that is not a Business Day, then such action shall be required to be done or taken not on such day but on the first succeeding Business Day thereafter.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4" w:name="page205"/>
    <w:bookmarkEnd w:id="20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8.1</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and other communications to any Party hereunder shall be in writing and will be (a) delivered by hand or by overnight courier with tracking capabilities, or (b) mailed postage prepaid first class, registered, or certified mail, and, in either case ((a) or (b)), may also be delivered electronically via email, in each case, addressed as set forth below unless changed by written notice so given:</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Buyer,</w:t>
      </w:r>
    </w:p>
    <w:p>
      <w:pPr>
        <w:spacing w:after="0" w:line="2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Akebia Therapeutics, Inc.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245 First Street, Suite 1400</w:t>
      </w:r>
    </w:p>
    <w:p>
      <w:pPr>
        <w:ind w:left="1500"/>
        <w:spacing w:after="0" w:line="230" w:lineRule="auto"/>
        <w:rPr>
          <w:sz w:val="20"/>
          <w:szCs w:val="20"/>
          <w:color w:val="auto"/>
        </w:rPr>
      </w:pPr>
      <w:r>
        <w:rPr>
          <w:rFonts w:ascii="Times New Roman" w:cs="Times New Roman" w:eastAsia="Times New Roman" w:hAnsi="Times New Roman"/>
          <w:sz w:val="22"/>
          <w:szCs w:val="22"/>
          <w:color w:val="auto"/>
        </w:rPr>
        <w:t>Cambridge, Massachusetts 02142</w:t>
      </w:r>
    </w:p>
    <w:p>
      <w:pPr>
        <w:ind w:left="1500"/>
        <w:spacing w:after="0" w:line="231" w:lineRule="auto"/>
        <w:rPr>
          <w:sz w:val="20"/>
          <w:szCs w:val="20"/>
          <w:color w:val="auto"/>
        </w:rPr>
      </w:pPr>
      <w:r>
        <w:rPr>
          <w:rFonts w:ascii="Times New Roman" w:cs="Times New Roman" w:eastAsia="Times New Roman" w:hAnsi="Times New Roman"/>
          <w:sz w:val="22"/>
          <w:szCs w:val="22"/>
          <w:color w:val="auto"/>
        </w:rPr>
        <w:t>Attention: General Counsel</w:t>
      </w:r>
    </w:p>
    <w:p>
      <w:pPr>
        <w:ind w:left="1500"/>
        <w:spacing w:after="0" w:line="230" w:lineRule="auto"/>
        <w:rPr>
          <w:sz w:val="20"/>
          <w:szCs w:val="20"/>
          <w:color w:val="auto"/>
        </w:rPr>
      </w:pPr>
      <w:r>
        <w:rPr>
          <w:rFonts w:ascii="Times New Roman" w:cs="Times New Roman" w:eastAsia="Times New Roman" w:hAnsi="Times New Roman"/>
          <w:sz w:val="22"/>
          <w:szCs w:val="22"/>
          <w:color w:val="auto"/>
        </w:rPr>
        <w:t>Telephone: 617-871-2098</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Ropes &amp; Gray LLP</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Prudential Tower</w:t>
      </w:r>
    </w:p>
    <w:p>
      <w:pPr>
        <w:ind w:left="1500"/>
        <w:spacing w:after="0" w:line="230" w:lineRule="auto"/>
        <w:rPr>
          <w:sz w:val="20"/>
          <w:szCs w:val="20"/>
          <w:color w:val="auto"/>
        </w:rPr>
      </w:pPr>
      <w:r>
        <w:rPr>
          <w:rFonts w:ascii="Times New Roman" w:cs="Times New Roman" w:eastAsia="Times New Roman" w:hAnsi="Times New Roman"/>
          <w:sz w:val="22"/>
          <w:szCs w:val="22"/>
          <w:color w:val="auto"/>
        </w:rPr>
        <w:t>800 Boylston Street</w:t>
      </w:r>
    </w:p>
    <w:p>
      <w:pPr>
        <w:ind w:left="1500"/>
        <w:spacing w:after="0" w:line="231" w:lineRule="auto"/>
        <w:rPr>
          <w:sz w:val="20"/>
          <w:szCs w:val="20"/>
          <w:color w:val="auto"/>
        </w:rPr>
      </w:pPr>
      <w:r>
        <w:rPr>
          <w:rFonts w:ascii="Times New Roman" w:cs="Times New Roman" w:eastAsia="Times New Roman" w:hAnsi="Times New Roman"/>
          <w:sz w:val="22"/>
          <w:szCs w:val="22"/>
          <w:color w:val="auto"/>
        </w:rPr>
        <w:t>Boston, Massachusetts 02199-3600</w:t>
      </w:r>
    </w:p>
    <w:p>
      <w:pPr>
        <w:ind w:left="1500"/>
        <w:spacing w:after="0" w:line="230" w:lineRule="auto"/>
        <w:rPr>
          <w:sz w:val="20"/>
          <w:szCs w:val="20"/>
          <w:color w:val="auto"/>
        </w:rPr>
      </w:pPr>
      <w:r>
        <w:rPr>
          <w:rFonts w:ascii="Times New Roman" w:cs="Times New Roman" w:eastAsia="Times New Roman" w:hAnsi="Times New Roman"/>
          <w:sz w:val="22"/>
          <w:szCs w:val="22"/>
          <w:color w:val="auto"/>
        </w:rPr>
        <w:t>Attention: David McIntosh</w:t>
      </w:r>
    </w:p>
    <w:p>
      <w:pPr>
        <w:ind w:left="1500"/>
        <w:spacing w:after="0" w:line="231" w:lineRule="auto"/>
        <w:rPr>
          <w:sz w:val="20"/>
          <w:szCs w:val="20"/>
          <w:color w:val="auto"/>
        </w:rPr>
      </w:pPr>
      <w:r>
        <w:rPr>
          <w:rFonts w:ascii="Times New Roman" w:cs="Times New Roman" w:eastAsia="Times New Roman" w:hAnsi="Times New Roman"/>
          <w:sz w:val="22"/>
          <w:szCs w:val="22"/>
          <w:color w:val="auto"/>
        </w:rPr>
        <w:t>Telephone: [**]</w:t>
      </w:r>
    </w:p>
    <w:p>
      <w:pPr>
        <w:ind w:left="1500"/>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Seller,</w:t>
      </w:r>
    </w:p>
    <w:p>
      <w:pPr>
        <w:spacing w:after="0" w:line="2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Q32 Bio Inc.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830 Winter St.</w:t>
      </w:r>
    </w:p>
    <w:p>
      <w:pPr>
        <w:ind w:left="1500"/>
        <w:spacing w:after="0" w:line="230" w:lineRule="auto"/>
        <w:rPr>
          <w:sz w:val="20"/>
          <w:szCs w:val="20"/>
          <w:color w:val="auto"/>
        </w:rPr>
      </w:pPr>
      <w:r>
        <w:rPr>
          <w:rFonts w:ascii="Times New Roman" w:cs="Times New Roman" w:eastAsia="Times New Roman" w:hAnsi="Times New Roman"/>
          <w:sz w:val="22"/>
          <w:szCs w:val="22"/>
          <w:color w:val="auto"/>
        </w:rPr>
        <w:t>Waltham, MA 02451</w:t>
      </w:r>
    </w:p>
    <w:p>
      <w:pPr>
        <w:ind w:left="1500"/>
        <w:spacing w:after="0" w:line="231" w:lineRule="auto"/>
        <w:rPr>
          <w:sz w:val="20"/>
          <w:szCs w:val="20"/>
          <w:color w:val="auto"/>
        </w:rPr>
      </w:pPr>
      <w:r>
        <w:rPr>
          <w:rFonts w:ascii="Times New Roman" w:cs="Times New Roman" w:eastAsia="Times New Roman" w:hAnsi="Times New Roman"/>
          <w:sz w:val="22"/>
          <w:szCs w:val="22"/>
          <w:color w:val="auto"/>
        </w:rPr>
        <w:t>Attention:</w:t>
      </w:r>
    </w:p>
    <w:p>
      <w:pPr>
        <w:ind w:left="1500"/>
        <w:spacing w:after="0" w:line="230" w:lineRule="auto"/>
        <w:rPr>
          <w:sz w:val="20"/>
          <w:szCs w:val="20"/>
          <w:color w:val="auto"/>
        </w:rPr>
      </w:pPr>
      <w:r>
        <w:rPr>
          <w:rFonts w:ascii="Times New Roman" w:cs="Times New Roman" w:eastAsia="Times New Roman" w:hAnsi="Times New Roman"/>
          <w:sz w:val="22"/>
          <w:szCs w:val="22"/>
          <w:color w:val="auto"/>
        </w:rPr>
        <w:t>Telephone:</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E-mail:</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Goodwin Procter LLP</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5" w:name="page206"/>
    <w:bookmarkEnd w:id="205"/>
    <w:p>
      <w:pPr>
        <w:ind w:left="1500"/>
        <w:spacing w:after="0"/>
        <w:rPr>
          <w:sz w:val="20"/>
          <w:szCs w:val="20"/>
          <w:color w:val="auto"/>
        </w:rPr>
      </w:pPr>
      <w:r>
        <w:rPr>
          <w:rFonts w:ascii="Times New Roman" w:cs="Times New Roman" w:eastAsia="Times New Roman" w:hAnsi="Times New Roman"/>
          <w:sz w:val="22"/>
          <w:szCs w:val="22"/>
          <w:color w:val="auto"/>
        </w:rPr>
        <w:t>100 Northern Avenue</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Boston, MA 02210</w:t>
      </w:r>
    </w:p>
    <w:p>
      <w:pPr>
        <w:ind w:left="1500"/>
        <w:spacing w:after="0" w:line="230" w:lineRule="auto"/>
        <w:rPr>
          <w:sz w:val="20"/>
          <w:szCs w:val="20"/>
          <w:color w:val="auto"/>
        </w:rPr>
      </w:pPr>
      <w:r>
        <w:rPr>
          <w:rFonts w:ascii="Times New Roman" w:cs="Times New Roman" w:eastAsia="Times New Roman" w:hAnsi="Times New Roman"/>
          <w:sz w:val="22"/>
          <w:szCs w:val="22"/>
          <w:color w:val="auto"/>
        </w:rPr>
        <w:t>Attention: Jacqueline Mercier and Erini Svokos</w:t>
      </w:r>
    </w:p>
    <w:p>
      <w:pPr>
        <w:ind w:left="1500"/>
        <w:spacing w:after="0" w:line="231" w:lineRule="auto"/>
        <w:rPr>
          <w:sz w:val="20"/>
          <w:szCs w:val="20"/>
          <w:color w:val="auto"/>
        </w:rPr>
      </w:pPr>
      <w:r>
        <w:rPr>
          <w:rFonts w:ascii="Times New Roman" w:cs="Times New Roman" w:eastAsia="Times New Roman" w:hAnsi="Times New Roman"/>
          <w:sz w:val="22"/>
          <w:szCs w:val="22"/>
          <w:color w:val="auto"/>
        </w:rPr>
        <w:t>Telephone: [**]</w:t>
      </w:r>
    </w:p>
    <w:p>
      <w:pPr>
        <w:ind w:left="1500"/>
        <w:spacing w:after="0"/>
        <w:rPr>
          <w:sz w:val="20"/>
          <w:szCs w:val="20"/>
          <w:color w:val="auto"/>
        </w:rPr>
      </w:pPr>
      <w:r>
        <w:rPr>
          <w:rFonts w:ascii="Times New Roman" w:cs="Times New Roman" w:eastAsia="Times New Roman" w:hAnsi="Times New Roman"/>
          <w:sz w:val="22"/>
          <w:szCs w:val="22"/>
          <w:color w:val="auto"/>
        </w:rPr>
        <w:t>E-mail: [**]</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or such other address or e-mail address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Section 8.2</w:t>
      </w:r>
      <w:r>
        <w:rPr>
          <w:rFonts w:ascii="Times New Roman" w:cs="Times New Roman" w:eastAsia="Times New Roman" w:hAnsi="Times New Roman"/>
          <w:sz w:val="22"/>
          <w:szCs w:val="22"/>
          <w:u w:val="single" w:color="auto"/>
          <w:color w:val="auto"/>
        </w:rPr>
        <w:t>Amendment; Waivers, etc.</w:t>
      </w:r>
      <w:r>
        <w:rPr>
          <w:rFonts w:ascii="Times New Roman" w:cs="Times New Roman" w:eastAsia="Times New Roman" w:hAnsi="Times New Roman"/>
          <w:sz w:val="22"/>
          <w:szCs w:val="22"/>
          <w:color w:val="auto"/>
        </w:rPr>
        <w:t xml:space="preserve"> No amendment, modification or discharge of this Agreement, and no waiver hereunder, shall be valid or binding unless set forth in writing and duly executed by the Party against whom enforcement of the amendment, modification, discharge or waiver is sought. Any such waiver shall constitute a waiver only with respect to the specific matter described in such writing and shall in no way impair the rights of the Party granting such waiver in any other respect or at any other time. Neither the waiver by any of the Parties hereto of a breach of or a default under any of the provisions of this Agreement, nor the failure by any of the Parties, on one or more occasions, to enforce any of the provisions of this Agreement or to exercise any right or privilege hereunder, shall be construed as a waiver of any other breach or default of a similar nature, or as a waiver of any of such provisions, rights or privileges hereunder. The rights and remedies herein provided are cumulative and none is exclusive of any other, or of any rights or remedies that any Party may otherwise have at law or in equity.</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8.3</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Except as otherwise provided herein, all costs, fees and expenses incurred in connection with this Agreement, the Ancillary Agreements and the transactions contemplated hereby and thereby, whether or not consummated, shall be paid by the Party incurring such cost or expense.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8.4</w:t>
      </w:r>
      <w:r>
        <w:rPr>
          <w:rFonts w:ascii="Times New Roman" w:cs="Times New Roman" w:eastAsia="Times New Roman" w:hAnsi="Times New Roman"/>
          <w:sz w:val="22"/>
          <w:szCs w:val="22"/>
          <w:u w:val="single" w:color="auto"/>
          <w:color w:val="auto"/>
        </w:rPr>
        <w:t>Governing Law, etc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6" w:lineRule="auto"/>
        <w:tabs>
          <w:tab w:leader="none" w:pos="2036"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and Jurisdiction</w:t>
      </w:r>
      <w:r>
        <w:rPr>
          <w:rFonts w:ascii="Times New Roman" w:cs="Times New Roman" w:eastAsia="Times New Roman" w:hAnsi="Times New Roman"/>
          <w:sz w:val="21"/>
          <w:szCs w:val="21"/>
          <w:color w:val="auto"/>
        </w:rPr>
        <w:t>. THIS AGREEMENT SHALL BE GOVERNED IN ALL RESPECTS, INCLUDING AS TO VALIDITY, INTERPRETATION AND EFFECT, BY THE LAWS OF THE STATE OF THE STATE OF NEW YORK, WITHOUT GIVING EFFECT TO ITS PRINCIPLES OR RULES OF CONFLICT OF LAWS, TO THE EXTENT SUCH PRINCIPLES OR RULES ARE NOT MANDATORILY APPLICABLE BY STATUTE AND WOULD PERMIT OR REQUIRE THE APPLICATION OF THE LAWS OF ANOTHER JURISDICTION. Buyer and Seller hereby irrevocably submit to the jurisdiction of the courts of the State of New York and the federal courts of the United States of America located in the State of New York solely in respect of the interpretation and enforcement of the provisions of this Agreement and in respect of the transactions contemplated hereby. Each of Buyer and Seller irrevocably agrees that all claims in respect of the interpretation and enforcement of the provisions of this Agreement and in respect of the transactions contemplated hereby, or with respect to any such action or proceeding, shall be heard and determined in such a New York state or federal court,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6" w:name="page207"/>
    <w:bookmarkEnd w:id="206"/>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and that such jurisdiction of such courts with respect thereto shall be exclusive, except solely to the extent that all such courts shall lawfully decline to exercise such jurisdiction. Each of Buyer and Seller hereby waives, and agrees not to assert, as a defense in any action, suit or proceeding for the interpretation or enforcement hereof or in respect of any such transaction, that it is not subject to such jurisdiction. Each of Buyer and Seller hereby waives, and agrees not to assert, to the maximum extent permitted by law, as a defense in any action, suit or proceeding for the interpretation or enforcement hereof or in respect of any such transaction, that such action, suit or proceeding may not be brought or is not maintainable in such courts or that the venue thereof may not be appropriate or that this Agreement may not be enforced in or by such courts. Buyer and Seller hereby consent to and grant any such court jurisdiction over the person of such Parties and over the subject matter of any such dispute and agree that service of process or other papers in connection with any such action or proceeding in the manner provided in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Notices</w:t>
      </w:r>
      <w:r>
        <w:rPr>
          <w:rFonts w:ascii="Times New Roman" w:cs="Times New Roman" w:eastAsia="Times New Roman" w:hAnsi="Times New Roman"/>
          <w:sz w:val="21"/>
          <w:szCs w:val="21"/>
          <w:color w:val="auto"/>
        </w:rPr>
        <w:t xml:space="preserve">) or in such other manner as may be permitted by law, shall be valid and sufficient service thereof. Notwithstanding anything in this </w:t>
      </w:r>
      <w:r>
        <w:rPr>
          <w:rFonts w:ascii="Times New Roman" w:cs="Times New Roman" w:eastAsia="Times New Roman" w:hAnsi="Times New Roman"/>
          <w:sz w:val="21"/>
          <w:szCs w:val="21"/>
          <w:u w:val="single" w:color="auto"/>
          <w:color w:val="auto"/>
        </w:rPr>
        <w:t>Section 8.4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Governing Law, etc.</w:t>
      </w:r>
      <w:r>
        <w:rPr>
          <w:rFonts w:ascii="Times New Roman" w:cs="Times New Roman" w:eastAsia="Times New Roman" w:hAnsi="Times New Roman"/>
          <w:sz w:val="21"/>
          <w:szCs w:val="21"/>
          <w:color w:val="auto"/>
        </w:rPr>
        <w:t xml:space="preserve">) to the contrary, each Party to this Agreement may bring an action to seek equitable relief as provided in </w:t>
      </w:r>
      <w:r>
        <w:rPr>
          <w:rFonts w:ascii="Times New Roman" w:cs="Times New Roman" w:eastAsia="Times New Roman" w:hAnsi="Times New Roman"/>
          <w:sz w:val="21"/>
          <w:szCs w:val="21"/>
          <w:u w:val="single" w:color="auto"/>
          <w:color w:val="auto"/>
        </w:rPr>
        <w:t>Section 8.10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Specific Performance</w:t>
      </w:r>
      <w:r>
        <w:rPr>
          <w:rFonts w:ascii="Times New Roman" w:cs="Times New Roman" w:eastAsia="Times New Roman" w:hAnsi="Times New Roman"/>
          <w:sz w:val="21"/>
          <w:szCs w:val="21"/>
          <w:color w:val="auto"/>
        </w:rPr>
        <w:t>) in such jurisdiction as it may deem appropriate to enforce its rights hereunder and each Party hereby consents to each such applicable jurisdiction for purposes of such equitable relief.</w:t>
      </w:r>
    </w:p>
    <w:p>
      <w:pPr>
        <w:spacing w:after="0" w:line="183" w:lineRule="exact"/>
        <w:rPr>
          <w:sz w:val="20"/>
          <w:szCs w:val="20"/>
          <w:color w:val="auto"/>
        </w:rPr>
      </w:pPr>
    </w:p>
    <w:p>
      <w:pPr>
        <w:jc w:val="both"/>
        <w:ind w:firstLine="1505"/>
        <w:spacing w:after="0" w:line="239" w:lineRule="auto"/>
        <w:tabs>
          <w:tab w:leader="none" w:pos="203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HEREBY IRREVOCABLY AND UNCONDITIONALLY WAIVES ANY RIGHT SUCH PARTY MAY HAVE TO A TRIAL BY JURY IN RESPECT OF ANY LITIGATION DIRECTLY OR INDIRECTLY ARISING OUT OF OR RELATING TO THIS AGREEMENT OR THE TRANSACTIONS CONTEMPLATED HEREBY.</w:t>
      </w:r>
    </w:p>
    <w:p>
      <w:pPr>
        <w:spacing w:after="0" w:line="180"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Certain Damages</w:t>
      </w:r>
      <w:r>
        <w:rPr>
          <w:rFonts w:ascii="Times New Roman" w:cs="Times New Roman" w:eastAsia="Times New Roman" w:hAnsi="Times New Roman"/>
          <w:sz w:val="22"/>
          <w:szCs w:val="22"/>
          <w:color w:val="auto"/>
        </w:rPr>
        <w:t xml:space="preserve">. IN CONNECTION WITH ANY DISPUTE HEREUNDER, EACH PARTY HERETO WAIVES ANY CLAIM OF CONSEQUENTIAL, SPECIAL, INCIDENTAL, INDIRECT, SPECULATIVE, TREBLE OR PUNITIVE DAMAGES, LOSS OF BUSINESS REPUTATION OR OPPORTUNITY, LOST REVENUE, INCOME OR PROFITS, DIMINUTION IN VALUE OR SIMILAR ITEMS FROM THE OTHER PARTY HERETO (OR ANY AFFILIATE OF SUCH OTHER PARTY HERETO), EXCEPT THAT THE COURT SHALL HAVE THE POWER TO AWARD ANY RELIEF PROVIDED BY GOVERNING STATUTE. NOTWITHSTANDING THE FOREGOING, THIS WAIVER WILL NOT APPLY TO LIMIT ANY CLAIM FOR (A) CONSEQUENTIAL, SPECIAL, INCIDENTAL, INDIRECT DAMAGES, LOST PROFITS, DIMINUTION IN VALUE, OR SIMILAR ITEMS PAYABLE TO ANY THIRD PARTY BY AN INDEMNIFIED PARTY PURSUANT TO A THIRD PARTY CLAIM, OR (B) CONSEQUENTIAL, INCIDENTAL, OR INDIRECT DAMAGES WHICH ARE A REASONABLY FORESEEABLE RESULT OF THE FACTS AND CIRCUMSTANCES GIVING RISE TO THE CLAIM, ARISING FROM (I) EITHER PARTY’S BREACH OF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CONFIDENTIALITY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 ASSURANCES</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OR (II) SELLER’S OR ITS AFFILIATES’ BREACH OF THE RESTRICTIONS SET FORTH IN </w:t>
      </w:r>
      <w:r>
        <w:rPr>
          <w:rFonts w:ascii="Times New Roman" w:cs="Times New Roman" w:eastAsia="Times New Roman" w:hAnsi="Times New Roman"/>
          <w:sz w:val="22"/>
          <w:szCs w:val="22"/>
          <w:u w:val="single" w:color="auto"/>
          <w:color w:val="auto"/>
        </w:rPr>
        <w:t>SECTION 4.14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COMPETITION</w:t>
      </w:r>
      <w:r>
        <w:rPr>
          <w:rFonts w:ascii="Times New Roman" w:cs="Times New Roman" w:eastAsia="Times New Roman" w:hAnsi="Times New Roman"/>
          <w:sz w:val="22"/>
          <w:szCs w:val="22"/>
          <w:color w:val="auto"/>
        </w:rPr>
        <w:t xml:space="preserve">) OR ITS OBLIGATIONS SET FORTH IN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TRANSFER PLAN; TRANSITION ASSISTANCE</w:t>
      </w:r>
      <w:r>
        <w:rPr>
          <w:rFonts w:ascii="Times New Roman" w:cs="Times New Roman" w:eastAsia="Times New Roman" w:hAnsi="Times New Roman"/>
          <w:sz w:val="22"/>
          <w:szCs w:val="22"/>
          <w:color w:val="auto"/>
        </w:rPr>
        <w:t>) OR (III) ANY INACCURACY OR BREACH OF REPRESENTATION BY SELLER SET FORTH IN THIS AGREEMENT.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7" w:name="page208"/>
    <w:bookmarkEnd w:id="207"/>
    <w:p>
      <w:pPr>
        <w:jc w:val="both"/>
        <w:ind w:firstLine="1505"/>
        <w:spacing w:after="0" w:line="239" w:lineRule="auto"/>
        <w:tabs>
          <w:tab w:leader="none" w:pos="2036"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this Agreement nor any right or obligation of any of the Parties under this Agreement shall be governed by the U.N. Convention on Contracts for the International Sale of Goods, and the Parties to this Agreement expressly waive or disclaim, as the case may be, any right or obligation they may have under this Agreement pursuant to the U.N. Convention on Contracts for the International Sale of Goods.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8.5</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5" w:lineRule="auto"/>
        <w:tabs>
          <w:tab w:leader="none" w:pos="2036"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xml:space="preserve">. This Agreement shall be binding upon and inure to the benefit of the Parties and their respective heirs, successors and permitted assigns;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neither Party to this Agreement may assign any of its rights or obligations under this Agreement, including by sale of stock, operation of Law in connection with a merger or sale of substantially all the assets, without the prior written consent of the other Party, except that (i) either Party may, without such consent, assign its rights to, or have its obligations discharged by, an Affiliate, and (ii) subject to </w:t>
      </w:r>
      <w:r>
        <w:rPr>
          <w:rFonts w:ascii="Times New Roman" w:cs="Times New Roman" w:eastAsia="Times New Roman" w:hAnsi="Times New Roman"/>
          <w:sz w:val="21"/>
          <w:szCs w:val="21"/>
          <w:u w:val="single" w:color="auto"/>
          <w:color w:val="auto"/>
        </w:rPr>
        <w:t>Section 8.6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Divestitures</w:t>
      </w:r>
      <w:r>
        <w:rPr>
          <w:rFonts w:ascii="Times New Roman" w:cs="Times New Roman" w:eastAsia="Times New Roman" w:hAnsi="Times New Roman"/>
          <w:sz w:val="21"/>
          <w:szCs w:val="21"/>
          <w:color w:val="auto"/>
        </w:rPr>
        <w:t xml:space="preserve">), Buyer may, without such consent, assign its rights or obligations hereunder, in whole or in part, to a successor of all or substantially all of its business or assets to which this Agreement relates, whether in a merger, sale of stock, sale of assets, or any other transaction. With respect to an assignment to an Affiliate, the assigning Party will remain responsible for the performance by such Affiliate of the rights and obligations hereunder. All validly assigned and delegated rights and obligations of the Parties hereunder will be binding and inure to the benefit of and be enforceable by and against the successors and permitted assigns of Seller or Buyer, as the case may be. The permitted assignee or transferee will assume all obligations of its assignor or transferor under this Agreement. Any attempted assignment or transfer in violation of this </w:t>
      </w:r>
      <w:r>
        <w:rPr>
          <w:rFonts w:ascii="Times New Roman" w:cs="Times New Roman" w:eastAsia="Times New Roman" w:hAnsi="Times New Roman"/>
          <w:sz w:val="21"/>
          <w:szCs w:val="21"/>
          <w:u w:val="single" w:color="auto"/>
          <w:color w:val="auto"/>
        </w:rPr>
        <w:t>Section 8.5(a)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General</w:t>
      </w:r>
      <w:r>
        <w:rPr>
          <w:rFonts w:ascii="Times New Roman" w:cs="Times New Roman" w:eastAsia="Times New Roman" w:hAnsi="Times New Roman"/>
          <w:sz w:val="21"/>
          <w:szCs w:val="21"/>
          <w:color w:val="auto"/>
        </w:rPr>
        <w:t>) shall be null and void.</w:t>
      </w:r>
    </w:p>
    <w:p>
      <w:pPr>
        <w:spacing w:after="0" w:line="173" w:lineRule="exact"/>
        <w:rPr>
          <w:rFonts w:ascii="Times New Roman" w:cs="Times New Roman" w:eastAsia="Times New Roman" w:hAnsi="Times New Roman"/>
          <w:sz w:val="21"/>
          <w:szCs w:val="21"/>
          <w:color w:val="auto"/>
        </w:rPr>
      </w:pPr>
    </w:p>
    <w:p>
      <w:pPr>
        <w:jc w:val="both"/>
        <w:ind w:firstLine="1505"/>
        <w:spacing w:after="0" w:line="233" w:lineRule="auto"/>
        <w:tabs>
          <w:tab w:leader="none" w:pos="203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Securitization</w:t>
      </w:r>
      <w:r>
        <w:rPr>
          <w:rFonts w:ascii="Times New Roman" w:cs="Times New Roman" w:eastAsia="Times New Roman" w:hAnsi="Times New Roman"/>
          <w:sz w:val="22"/>
          <w:szCs w:val="22"/>
          <w:color w:val="auto"/>
        </w:rPr>
        <w:t xml:space="preserve">. Notwithstanding anything to the contrary in </w:t>
      </w:r>
      <w:r>
        <w:rPr>
          <w:rFonts w:ascii="Times New Roman" w:cs="Times New Roman" w:eastAsia="Times New Roman" w:hAnsi="Times New Roman"/>
          <w:sz w:val="22"/>
          <w:szCs w:val="22"/>
          <w:u w:val="single" w:color="auto"/>
          <w:color w:val="auto"/>
        </w:rPr>
        <w:t>Section 8.5(a)</w:t>
      </w:r>
      <w:r>
        <w:rPr>
          <w:rFonts w:ascii="Times New Roman" w:cs="Times New Roman" w:eastAsia="Times New Roman" w:hAnsi="Times New Roman"/>
          <w:sz w:val="22"/>
          <w:szCs w:val="22"/>
          <w:color w:val="auto"/>
        </w:rPr>
        <w:t xml:space="preserve"> (General) or elsewhere in this Agreement, Seller may assign to a Third Party its right to receive the payments owed under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Contingent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Consideration</w:t>
      </w:r>
      <w:r>
        <w:rPr>
          <w:rFonts w:ascii="Times New Roman" w:cs="Times New Roman" w:eastAsia="Times New Roman" w:hAnsi="Times New Roman"/>
          <w:sz w:val="22"/>
          <w:szCs w:val="22"/>
          <w:color w:val="auto"/>
        </w:rPr>
        <w:t>) (such assignment, a “</w:t>
      </w:r>
      <w:r>
        <w:rPr>
          <w:rFonts w:ascii="Times New Roman" w:cs="Times New Roman" w:eastAsia="Times New Roman" w:hAnsi="Times New Roman"/>
          <w:sz w:val="22"/>
          <w:szCs w:val="22"/>
          <w:b w:val="1"/>
          <w:bCs w:val="1"/>
          <w:color w:val="auto"/>
        </w:rPr>
        <w:t>Securitization Transaction</w:t>
      </w:r>
      <w:r>
        <w:rPr>
          <w:rFonts w:ascii="Times New Roman" w:cs="Times New Roman" w:eastAsia="Times New Roman" w:hAnsi="Times New Roman"/>
          <w:sz w:val="22"/>
          <w:szCs w:val="22"/>
          <w:color w:val="auto"/>
        </w:rPr>
        <w:t>”) without the prior written consent of any Buyer Party. Seller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shall notify Buyer in writing if it initiates a competitive process to enter into a Securitization Transaction with any Third Party, and Buyer shall be permitted to participate in such process to the extent as any other Third Party. Further, in connection with a contemplated Securitization Transaction, Seller may disclose to such Third Party the Royalty Reports contemplated under </w:t>
      </w:r>
      <w:r>
        <w:rPr>
          <w:rFonts w:ascii="Times New Roman" w:cs="Times New Roman" w:eastAsia="Times New Roman" w:hAnsi="Times New Roman"/>
          <w:sz w:val="22"/>
          <w:szCs w:val="22"/>
          <w:u w:val="single" w:color="auto"/>
          <w:color w:val="auto"/>
        </w:rPr>
        <w:t>Section 1.4(c)(vi)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Royalty Payments and Reports</w:t>
      </w:r>
      <w:r>
        <w:rPr>
          <w:rFonts w:ascii="Times New Roman" w:cs="Times New Roman" w:eastAsia="Times New Roman" w:hAnsi="Times New Roman"/>
          <w:sz w:val="22"/>
          <w:szCs w:val="22"/>
          <w:color w:val="auto"/>
        </w:rPr>
        <w:t>) (without the prior written consent of any Buyer Party), to the extent reasonably necessary to enable such Third Party to evaluate the Securitization Transaction opportunity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Third Party is under written obligations of confidentiality and non- use with respect to such confidential information that are no less stringent than the terms of the Confidentiality Agreement), and to allow such Third Party to exercise its rights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8.5(b)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Securitization</w:t>
      </w:r>
      <w:r>
        <w:rPr>
          <w:rFonts w:ascii="Times New Roman" w:cs="Times New Roman" w:eastAsia="Times New Roman" w:hAnsi="Times New Roman"/>
          <w:sz w:val="22"/>
          <w:szCs w:val="22"/>
          <w:color w:val="auto"/>
        </w:rPr>
        <w:t xml:space="preserve">). As part of any consummated Securitization Transaction, Seller may assign, without the prior written consent of any Buyer Party, its right to receive the Royalty Reports under </w:t>
      </w:r>
      <w:r>
        <w:rPr>
          <w:rFonts w:ascii="Times New Roman" w:cs="Times New Roman" w:eastAsia="Times New Roman" w:hAnsi="Times New Roman"/>
          <w:sz w:val="22"/>
          <w:szCs w:val="22"/>
          <w:u w:val="single" w:color="auto"/>
          <w:color w:val="auto"/>
        </w:rPr>
        <w:t>Section 1.4(c)(vi)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Royalty Payments and Reports</w:t>
      </w:r>
      <w:r>
        <w:rPr>
          <w:rFonts w:ascii="Times New Roman" w:cs="Times New Roman" w:eastAsia="Times New Roman" w:hAnsi="Times New Roman"/>
          <w:sz w:val="22"/>
          <w:szCs w:val="22"/>
          <w:color w:val="auto"/>
        </w:rPr>
        <w:t xml:space="preserve">) and to conduct audits under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Inspection of Buyer Records</w:t>
      </w:r>
      <w:r>
        <w:rPr>
          <w:rFonts w:ascii="Times New Roman" w:cs="Times New Roman" w:eastAsia="Times New Roman" w:hAnsi="Times New Roman"/>
          <w:sz w:val="22"/>
          <w:szCs w:val="22"/>
          <w:color w:val="auto"/>
        </w:rPr>
        <w:t>) to the counterparty in such Securitization Transaction, and to allow such counterparty to exercise its rights under such Section.</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8.6</w:t>
      </w:r>
      <w:r>
        <w:rPr>
          <w:rFonts w:ascii="Times New Roman" w:cs="Times New Roman" w:eastAsia="Times New Roman" w:hAnsi="Times New Roman"/>
          <w:sz w:val="22"/>
          <w:szCs w:val="22"/>
          <w:u w:val="single" w:color="auto"/>
          <w:color w:val="auto"/>
        </w:rPr>
        <w:t>Divestitures.</w:t>
      </w:r>
      <w:r>
        <w:rPr>
          <w:rFonts w:ascii="Times New Roman" w:cs="Times New Roman" w:eastAsia="Times New Roman" w:hAnsi="Times New Roman"/>
          <w:sz w:val="22"/>
          <w:szCs w:val="22"/>
          <w:color w:val="auto"/>
        </w:rPr>
        <w:t xml:space="preserve"> If at any time after the Closing until all Development and Regulatory Milestone Payments have been received by Seller, a Buyer Party divests or transfers (by way of merger, consolidation, asset acquisition or sale, exclusive license, exclusive sublicense,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8" w:name="page209"/>
    <w:bookmarkEnd w:id="208"/>
    <w:p>
      <w:pPr>
        <w:jc w:val="both"/>
        <w:spacing w:after="0" w:line="234" w:lineRule="auto"/>
        <w:rPr>
          <w:sz w:val="20"/>
          <w:szCs w:val="20"/>
          <w:color w:val="auto"/>
        </w:rPr>
      </w:pPr>
      <w:r>
        <w:rPr>
          <w:rFonts w:ascii="Times New Roman" w:cs="Times New Roman" w:eastAsia="Times New Roman" w:hAnsi="Times New Roman"/>
          <w:sz w:val="22"/>
          <w:szCs w:val="22"/>
          <w:color w:val="auto"/>
        </w:rPr>
        <w:t>assignment or other similar transfer) (a “</w:t>
      </w:r>
      <w:r>
        <w:rPr>
          <w:rFonts w:ascii="Times New Roman" w:cs="Times New Roman" w:eastAsia="Times New Roman" w:hAnsi="Times New Roman"/>
          <w:sz w:val="22"/>
          <w:szCs w:val="22"/>
          <w:b w:val="1"/>
          <w:bCs w:val="1"/>
          <w:color w:val="auto"/>
        </w:rPr>
        <w:t>Divestiture</w:t>
      </w:r>
      <w:r>
        <w:rPr>
          <w:rFonts w:ascii="Times New Roman" w:cs="Times New Roman" w:eastAsia="Times New Roman" w:hAnsi="Times New Roman"/>
          <w:sz w:val="22"/>
          <w:szCs w:val="22"/>
          <w:color w:val="auto"/>
        </w:rPr>
        <w:t>”) to a Third Party all of Buyer Parties’ right, title and interest in and to all Products and the IP Rights related to the same (collectively, “</w:t>
      </w:r>
      <w:r>
        <w:rPr>
          <w:rFonts w:ascii="Times New Roman" w:cs="Times New Roman" w:eastAsia="Times New Roman" w:hAnsi="Times New Roman"/>
          <w:sz w:val="22"/>
          <w:szCs w:val="22"/>
          <w:b w:val="1"/>
          <w:bCs w:val="1"/>
          <w:color w:val="auto"/>
        </w:rPr>
        <w:t>Divested Assets</w:t>
      </w:r>
      <w:r>
        <w:rPr>
          <w:rFonts w:ascii="Times New Roman" w:cs="Times New Roman" w:eastAsia="Times New Roman" w:hAnsi="Times New Roman"/>
          <w:sz w:val="22"/>
          <w:szCs w:val="22"/>
          <w:color w:val="auto"/>
        </w:rPr>
        <w:t>” and the Third Party receiving any Divested Assets, the “</w:t>
      </w:r>
      <w:r>
        <w:rPr>
          <w:rFonts w:ascii="Times New Roman" w:cs="Times New Roman" w:eastAsia="Times New Roman" w:hAnsi="Times New Roman"/>
          <w:sz w:val="22"/>
          <w:szCs w:val="22"/>
          <w:b w:val="1"/>
          <w:bCs w:val="1"/>
          <w:color w:val="auto"/>
        </w:rPr>
        <w:t>Transferee</w:t>
      </w:r>
      <w:r>
        <w:rPr>
          <w:rFonts w:ascii="Times New Roman" w:cs="Times New Roman" w:eastAsia="Times New Roman" w:hAnsi="Times New Roman"/>
          <w:sz w:val="22"/>
          <w:szCs w:val="22"/>
          <w:color w:val="auto"/>
        </w:rPr>
        <w:t xml:space="preserve">”), Buyer will: (i) make provision for the Transferee to assume and succeed to the obligations of Buyer set forth in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Contingent Consideration</w:t>
      </w:r>
      <w:r>
        <w:rPr>
          <w:rFonts w:ascii="Times New Roman" w:cs="Times New Roman" w:eastAsia="Times New Roman" w:hAnsi="Times New Roman"/>
          <w:sz w:val="22"/>
          <w:szCs w:val="22"/>
          <w:color w:val="auto"/>
        </w:rPr>
        <w:t xml:space="preserve">); and (ii) prior to or simultaneously with the consummation of any such Divestiture, cause such Transferee to provide to the Seller an instrument of assumption of the Transferred Liabilities in a form substantially similar to the form of assignment and assumption agreement as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effecting the assumption and succession described in the foregoing clause (i). Buyer will only remain liable to the Seller for the obligations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Contingent Consideration</w:t>
      </w:r>
      <w:r>
        <w:rPr>
          <w:rFonts w:ascii="Times New Roman" w:cs="Times New Roman" w:eastAsia="Times New Roman" w:hAnsi="Times New Roman"/>
          <w:sz w:val="22"/>
          <w:szCs w:val="22"/>
          <w:color w:val="auto"/>
        </w:rPr>
        <w:t>) following any such Divestiture if, at the time of such Divestiture, such Transferee has a lesser ability than Buyer to satisfy its payment obligations as they become due and payable, as indicated by the balance sheets of such Transferee and Buyer at the time of the Divestiture.</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8.7</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the Ancillary Agreements (when executed and delivered) and the Confidentiality Agreement constitute the entire agreement and supersede all prior agreements, understandings and representations, both written and oral, between the Parties with respect to the subject matter hereof.</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8.8</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including any phrase, sentence, clause, section or subsection, of this Agreement is determined by a court of competent jurisdiction to be invalid, inoperative or unenforceable for any reason, such circumstances shall not have the effect of rendering such provision in question invalid, inoperative or unenforceable in any other case or circumstance, or of rendering any other provision herein contained invalid, inoperative or unenforceable to any extent whatsoever. Upon any such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8.9</w:t>
      </w:r>
      <w:r>
        <w:rPr>
          <w:rFonts w:ascii="Times New Roman" w:cs="Times New Roman" w:eastAsia="Times New Roman" w:hAnsi="Times New Roman"/>
          <w:sz w:val="22"/>
          <w:szCs w:val="22"/>
          <w:u w:val="single" w:color="auto"/>
          <w:color w:val="auto"/>
        </w:rPr>
        <w:t>Counterparts; Effectiveness; Third Party Beneficiaries</w:t>
      </w:r>
      <w:r>
        <w:rPr>
          <w:rFonts w:ascii="Times New Roman" w:cs="Times New Roman" w:eastAsia="Times New Roman" w:hAnsi="Times New Roman"/>
          <w:sz w:val="22"/>
          <w:szCs w:val="22"/>
          <w:color w:val="auto"/>
        </w:rPr>
        <w:t xml:space="preserve">. This Agreement may be executed in several counterparts, each of which, including those received via facsimile transmission or email (including in PDF format), shall be deemed an original and all of which shall together constitute one and the same instrument. This Agreement shall become effective when each Party shall have received a counterpart hereof signed by all of the other Parties. Until and unless each Party has received a counterpart hereof signed by the other Party, this Agreement shall have no effect and no Party shall have any right or obligation hereunder (whether by virtue of any other oral or written agreement or other communication). Except as provided under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no provision of this Agreement is intended to confer any rights, benefits, remedies, obligations or liabilities hereunder upon any Person other than the Parties and their respective successors and assigns.</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8.10</w:t>
      </w: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xml:space="preserve">. The Parties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any court specified in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Governing Law, etc.</w:t>
      </w:r>
      <w:r>
        <w:rPr>
          <w:rFonts w:ascii="Times New Roman" w:cs="Times New Roman" w:eastAsia="Times New Roman" w:hAnsi="Times New Roman"/>
          <w:sz w:val="22"/>
          <w:szCs w:val="22"/>
          <w:color w:val="auto"/>
        </w:rPr>
        <w:t>), in addition to any other remedy to which they are entitled at law or in equity. The Parties hereby waive, in any action for specific performance,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9" w:name="page210"/>
    <w:bookmarkEnd w:id="209"/>
    <w:p>
      <w:pPr>
        <w:ind w:left="3380" w:right="319" w:hanging="4487"/>
        <w:spacing w:after="0" w:line="463" w:lineRule="auto"/>
        <w:rPr>
          <w:sz w:val="20"/>
          <w:szCs w:val="20"/>
          <w:color w:val="auto"/>
        </w:rPr>
      </w:pPr>
      <w:r>
        <w:rPr>
          <w:rFonts w:ascii="Times New Roman" w:cs="Times New Roman" w:eastAsia="Times New Roman" w:hAnsi="Times New Roman"/>
          <w:sz w:val="22"/>
          <w:szCs w:val="22"/>
          <w:color w:val="auto"/>
        </w:rPr>
        <w:t xml:space="preserve">the defense of adequacy of a remedy at law and the posting of any bond or other security in connection therewith. </w:t>
      </w: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37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607060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10" w:name="page211"/>
    <w:bookmarkEnd w:id="210"/>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duly executed this Agreement as of the date first above written.</w:t>
      </w:r>
    </w:p>
    <w:p>
      <w:pPr>
        <w:sectPr>
          <w:pgSz w:w="11900" w:h="16838" w:orient="portrait"/>
          <w:cols w:equalWidth="0" w:num="1">
            <w:col w:w="9460"/>
          </w:cols>
          <w:pgMar w:left="1080" w:top="1440" w:right="1359" w:bottom="1440" w:gutter="0" w:footer="0" w:header="0"/>
        </w:sectPr>
      </w:pPr>
    </w:p>
    <w:p>
      <w:pPr>
        <w:spacing w:after="0" w:line="25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Q32 BIO INC.</w:t>
      </w:r>
    </w:p>
    <w:p>
      <w:pPr>
        <w:spacing w:after="0" w:line="200" w:lineRule="exact"/>
        <w:rPr>
          <w:sz w:val="20"/>
          <w:szCs w:val="20"/>
          <w:color w:val="auto"/>
        </w:rPr>
      </w:pPr>
    </w:p>
    <w:p>
      <w:pPr>
        <w:spacing w:after="0" w:line="2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Jodie Morrison</w:t>
      </w:r>
    </w:p>
    <w:p>
      <w:pPr>
        <w:spacing w:after="0" w:line="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Name: Jodie Morrison</w:t>
      </w:r>
    </w:p>
    <w:p>
      <w:pPr>
        <w:ind w:left="47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Q32 BIO OPERATIONS INC.</w:t>
      </w:r>
    </w:p>
    <w:p>
      <w:pPr>
        <w:spacing w:after="0" w:line="200" w:lineRule="exact"/>
        <w:rPr>
          <w:sz w:val="20"/>
          <w:szCs w:val="20"/>
          <w:color w:val="auto"/>
        </w:rPr>
      </w:pPr>
    </w:p>
    <w:p>
      <w:pPr>
        <w:spacing w:after="0" w:line="2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Jodie Morrison</w:t>
      </w:r>
    </w:p>
    <w:p>
      <w:pPr>
        <w:spacing w:after="0" w:line="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Name: Jodie Morrison</w:t>
      </w:r>
    </w:p>
    <w:p>
      <w:pPr>
        <w:ind w:left="47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AKEBIA THERAPEUTICS, INC.</w:t>
      </w:r>
    </w:p>
    <w:p>
      <w:pPr>
        <w:spacing w:after="0" w:line="200" w:lineRule="exact"/>
        <w:rPr>
          <w:sz w:val="20"/>
          <w:szCs w:val="20"/>
          <w:color w:val="auto"/>
        </w:rPr>
      </w:pPr>
    </w:p>
    <w:p>
      <w:pPr>
        <w:spacing w:after="0" w:line="2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John P. Butler</w:t>
      </w:r>
    </w:p>
    <w:p>
      <w:pPr>
        <w:spacing w:after="0" w:line="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Name: John P. Butler</w:t>
      </w:r>
    </w:p>
    <w:p>
      <w:pPr>
        <w:jc w:val="right"/>
        <w:ind w:right="86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Asset Purchase Agreement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616585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60"/>
          </w:cols>
          <w:pgMar w:left="1080" w:top="1440" w:right="1359" w:bottom="1440" w:gutter="0" w:footer="0" w:header="0"/>
          <w:type w:val="continuous"/>
        </w:sectPr>
      </w:pPr>
    </w:p>
    <w:bookmarkStart w:id="211" w:name="page212"/>
    <w:bookmarkEnd w:id="21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Annex 9.1(a)</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Transferred Assets</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The Transferred Assets consist only of Seller’s and the Selling Affiliates’ right, title and interest in, to and under the following assets as they exist at the time of the Closing, but in each case specifically excluding any assets described in clauses (i) through (xv) of </w:t>
      </w:r>
      <w:r>
        <w:rPr>
          <w:rFonts w:ascii="Times New Roman" w:cs="Times New Roman" w:eastAsia="Times New Roman" w:hAnsi="Times New Roman"/>
          <w:sz w:val="22"/>
          <w:szCs w:val="22"/>
          <w:u w:val="single" w:color="auto"/>
          <w:color w:val="auto"/>
        </w:rPr>
        <w:t>Annex 9.1(b)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Excluded Assets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57"/>
        <w:spacing w:after="0" w:line="244" w:lineRule="auto"/>
        <w:tabs>
          <w:tab w:leader="none" w:pos="101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Approvals</w:t>
      </w:r>
      <w:r>
        <w:rPr>
          <w:rFonts w:ascii="Times New Roman" w:cs="Times New Roman" w:eastAsia="Times New Roman" w:hAnsi="Times New Roman"/>
          <w:sz w:val="22"/>
          <w:szCs w:val="22"/>
          <w:color w:val="auto"/>
        </w:rPr>
        <w:t>. The INDs exclusively related to the sale of the Product in the Territory, including the INDs set forth on Section 9.1(a)(i) of the Seller Disclosure Letter, all pre-clinical data, clinical data and laboratory data relating to the Products and referenced in such INDs.</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All books and records related to the Acquired Program or any Acquired Molecule, or Acquired Product including lab notebooks, invention disclosures, any relevant training materials or product presentations, market research data, market intelligence reports, and Clinical Trial-related assets, including data, databases, clinical study reports (if any) and ongoing patient management, pertaining to Clinical Trials of any Acquired Product, including those that were made available by Seller in the Data Room.</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u w:val="single" w:color="auto"/>
          <w:color w:val="auto"/>
        </w:rPr>
        <w:t>Regulatory Documentation</w:t>
      </w:r>
      <w:r>
        <w:rPr>
          <w:rFonts w:ascii="Times New Roman" w:cs="Times New Roman" w:eastAsia="Times New Roman" w:hAnsi="Times New Roman"/>
          <w:sz w:val="22"/>
          <w:szCs w:val="22"/>
          <w:color w:val="auto"/>
        </w:rPr>
        <w:t>. All (A) periodic safety reports or benefit risk evaluation reports, (B) correspondence between Seller or any of Seller’s Affiliates, on the one hand, and any Governmental Authority, on the other hand, relating to any Acquired Molecule or Acquired Product, including any correspondence related to Clinical Trial design, safety reports or updates, complaint files and product quality reviews, (C) other governmental reports, inspectional notices, Form 483 observations and customs notices, (D) medical inquiries, standard response or non-standard letters or talking points, (E) complaints, investigations and corrective and preventive actions, (F) documents, reports, records, information and materials relating to any post-marketing requirements and post-marketing commitments, (G) Trial Master Files related to any Clinical Trials for any Acquired Product conducted by or on behalf of Seller, and (H) any outstanding or ongoing regulatory item, in each case ((A) through (H)), to the extent owned or controlled by Seller or its Affiliates as of the Closing Date.</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(iv)</w:t>
      </w:r>
      <w:r>
        <w:rPr>
          <w:rFonts w:ascii="Times New Roman" w:cs="Times New Roman" w:eastAsia="Times New Roman" w:hAnsi="Times New Roman"/>
          <w:sz w:val="22"/>
          <w:szCs w:val="22"/>
          <w:u w:val="single" w:color="auto"/>
          <w:color w:val="auto"/>
        </w:rPr>
        <w:t>Safety Database</w:t>
      </w:r>
      <w:r>
        <w:rPr>
          <w:rFonts w:ascii="Times New Roman" w:cs="Times New Roman" w:eastAsia="Times New Roman" w:hAnsi="Times New Roman"/>
          <w:sz w:val="22"/>
          <w:szCs w:val="22"/>
          <w:color w:val="auto"/>
        </w:rPr>
        <w:t>. Any safety database maintained by Seller or its Affiliates as of the Closing Date for the Products (or any other Acquired Molecule or Acquired Product).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(v)</w:t>
      </w:r>
      <w:r>
        <w:rPr>
          <w:rFonts w:ascii="Times New Roman" w:cs="Times New Roman" w:eastAsia="Times New Roman" w:hAnsi="Times New Roman"/>
          <w:sz w:val="22"/>
          <w:szCs w:val="22"/>
          <w:u w:val="single" w:color="auto"/>
          <w:color w:val="auto"/>
        </w:rPr>
        <w:t>Goodwill</w:t>
      </w:r>
      <w:r>
        <w:rPr>
          <w:rFonts w:ascii="Times New Roman" w:cs="Times New Roman" w:eastAsia="Times New Roman" w:hAnsi="Times New Roman"/>
          <w:sz w:val="22"/>
          <w:szCs w:val="22"/>
          <w:color w:val="auto"/>
        </w:rPr>
        <w:t>. The goodwill generated by or associated with the Business.</w:t>
      </w:r>
    </w:p>
    <w:p>
      <w:pPr>
        <w:spacing w:after="0" w:line="206"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(vi)</w:t>
      </w:r>
      <w:r>
        <w:rPr>
          <w:rFonts w:ascii="Times New Roman" w:cs="Times New Roman" w:eastAsia="Times New Roman" w:hAnsi="Times New Roman"/>
          <w:sz w:val="21"/>
          <w:szCs w:val="21"/>
          <w:u w:val="single" w:color="auto"/>
          <w:color w:val="auto"/>
        </w:rPr>
        <w:t>Transferred Contracts</w:t>
      </w:r>
      <w:r>
        <w:rPr>
          <w:rFonts w:ascii="Times New Roman" w:cs="Times New Roman" w:eastAsia="Times New Roman" w:hAnsi="Times New Roman"/>
          <w:sz w:val="21"/>
          <w:szCs w:val="21"/>
          <w:color w:val="auto"/>
        </w:rPr>
        <w:t>. All leases, licenses, bids, tenders, purchase orders, consulting and other service agreements, supply agreements, distribution contracts, manufacturing contracts, maintenance contracts, agreements, commitments, and other contracts (collectively, “</w:t>
      </w:r>
      <w:r>
        <w:rPr>
          <w:rFonts w:ascii="Times New Roman" w:cs="Times New Roman" w:eastAsia="Times New Roman" w:hAnsi="Times New Roman"/>
          <w:sz w:val="21"/>
          <w:szCs w:val="21"/>
          <w:b w:val="1"/>
          <w:bCs w:val="1"/>
          <w:color w:val="auto"/>
        </w:rPr>
        <w:t>Contracts</w:t>
      </w:r>
      <w:r>
        <w:rPr>
          <w:rFonts w:ascii="Times New Roman" w:cs="Times New Roman" w:eastAsia="Times New Roman" w:hAnsi="Times New Roman"/>
          <w:sz w:val="21"/>
          <w:szCs w:val="21"/>
          <w:color w:val="auto"/>
        </w:rPr>
        <w:t>”) relating solely to the operation and conduct of the Business, the development, manufacture, commercialization, or other exploitation of any Acquired Molecule or Acquired Product, or any of the Transferred Assets as set forth on Section 9.1(a)(vi) of the Seller Disclosure Letter, (collectively, the “</w:t>
      </w:r>
      <w:r>
        <w:rPr>
          <w:rFonts w:ascii="Times New Roman" w:cs="Times New Roman" w:eastAsia="Times New Roman" w:hAnsi="Times New Roman"/>
          <w:sz w:val="21"/>
          <w:szCs w:val="21"/>
          <w:b w:val="1"/>
          <w:bCs w:val="1"/>
          <w:color w:val="auto"/>
        </w:rPr>
        <w:t>Transferred Contracts</w:t>
      </w:r>
      <w:r>
        <w:rPr>
          <w:rFonts w:ascii="Times New Roman" w:cs="Times New Roman" w:eastAsia="Times New Roman" w:hAnsi="Times New Roman"/>
          <w:sz w:val="21"/>
          <w:szCs w:val="21"/>
          <w:color w:val="auto"/>
        </w:rPr>
        <w: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9.1(a)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2" w:name="page213"/>
    <w:bookmarkEnd w:id="212"/>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(vii)</w:t>
      </w:r>
      <w:r>
        <w:rPr>
          <w:rFonts w:ascii="Times New Roman" w:cs="Times New Roman" w:eastAsia="Times New Roman" w:hAnsi="Times New Roman"/>
          <w:sz w:val="22"/>
          <w:szCs w:val="22"/>
          <w:u w:val="single" w:color="auto"/>
          <w:color w:val="auto"/>
        </w:rPr>
        <w:t>Transferred Materials</w:t>
      </w:r>
      <w:r>
        <w:rPr>
          <w:rFonts w:ascii="Times New Roman" w:cs="Times New Roman" w:eastAsia="Times New Roman" w:hAnsi="Times New Roman"/>
          <w:sz w:val="22"/>
          <w:szCs w:val="22"/>
          <w:color w:val="auto"/>
        </w:rPr>
        <w:t>. (a) All inventory of Acquired Molecules and Acquired Products, (b) all inventory of all raw materials and lab supplies specific to making the Acquired Molecules and Acquired Products, all work-in-progress related thereto, and all clinical samples and packaging materials specifically related to the Acquired Molecules and Acquired Products,</w:t>
      </w:r>
    </w:p>
    <w:p>
      <w:pPr>
        <w:jc w:val="both"/>
        <w:ind w:firstLine="8"/>
        <w:spacing w:after="0" w:line="234" w:lineRule="auto"/>
        <w:tabs>
          <w:tab w:leader="none" w:pos="307"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non-clinical samples related to the Acquired Molecules and Acquired Products as agreed to by the Parties in accordance with the Transfer Plan, and (d) [**], in each case ((a) through (d)), in Seller’s possession or control (including such items held by contract manufacturers or other contractors), including all materials set forth on Section 9.1(a)(vii) of the Seller Disclosure Letter (the “</w:t>
      </w:r>
      <w:r>
        <w:rPr>
          <w:rFonts w:ascii="Times New Roman" w:cs="Times New Roman" w:eastAsia="Times New Roman" w:hAnsi="Times New Roman"/>
          <w:sz w:val="22"/>
          <w:szCs w:val="22"/>
          <w:b w:val="1"/>
          <w:bCs w:val="1"/>
          <w:color w:val="auto"/>
        </w:rPr>
        <w:t>Transferred Materials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(viii)</w:t>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All Know-How (including Data) related to the Acquired Program or any Acquired Molecule or Acquired Product, and all intellectual property rights therein (including trade secret rights) (the “</w:t>
      </w:r>
      <w:r>
        <w:rPr>
          <w:rFonts w:ascii="Times New Roman" w:cs="Times New Roman" w:eastAsia="Times New Roman" w:hAnsi="Times New Roman"/>
          <w:sz w:val="21"/>
          <w:szCs w:val="21"/>
          <w:b w:val="1"/>
          <w:bCs w:val="1"/>
          <w:color w:val="auto"/>
        </w:rPr>
        <w:t>Transferred Know-How</w:t>
      </w:r>
      <w:r>
        <w:rPr>
          <w:rFonts w:ascii="Times New Roman" w:cs="Times New Roman" w:eastAsia="Times New Roman" w:hAnsi="Times New Roman"/>
          <w:sz w:val="21"/>
          <w:szCs w:val="21"/>
          <w:color w:val="auto"/>
        </w:rPr>
        <w:t>”), all Copyrights related to the Acquired Program or any Acquired Molecule or Acquired Product (the “</w:t>
      </w:r>
      <w:r>
        <w:rPr>
          <w:rFonts w:ascii="Times New Roman" w:cs="Times New Roman" w:eastAsia="Times New Roman" w:hAnsi="Times New Roman"/>
          <w:sz w:val="21"/>
          <w:szCs w:val="21"/>
          <w:b w:val="1"/>
          <w:bCs w:val="1"/>
          <w:color w:val="auto"/>
        </w:rPr>
        <w:t>Transferred Copyrights</w:t>
      </w:r>
      <w:r>
        <w:rPr>
          <w:rFonts w:ascii="Times New Roman" w:cs="Times New Roman" w:eastAsia="Times New Roman" w:hAnsi="Times New Roman"/>
          <w:sz w:val="21"/>
          <w:szCs w:val="21"/>
          <w:color w:val="auto"/>
        </w:rPr>
        <w:t>”), and any Patent Right that claims or discloses any Acquired Molecule or Acquired Product or any method of manufacturing or using any Acquired Molecule or Acquired Product, including the Patent Rights set forth on Section 9.1(a)(viii) of the Seller Disclosure Letter and all Patent Rights that claim priority thereto or share common priority therewith throughout the world (the “</w:t>
      </w:r>
      <w:r>
        <w:rPr>
          <w:rFonts w:ascii="Times New Roman" w:cs="Times New Roman" w:eastAsia="Times New Roman" w:hAnsi="Times New Roman"/>
          <w:sz w:val="21"/>
          <w:szCs w:val="21"/>
          <w:b w:val="1"/>
          <w:bCs w:val="1"/>
          <w:color w:val="auto"/>
        </w:rPr>
        <w:t>Transferred Patent Rights</w:t>
      </w:r>
      <w:r>
        <w:rPr>
          <w:rFonts w:ascii="Times New Roman" w:cs="Times New Roman" w:eastAsia="Times New Roman" w:hAnsi="Times New Roman"/>
          <w:sz w:val="21"/>
          <w:szCs w:val="21"/>
          <w:color w:val="auto"/>
        </w:rPr>
        <w:t>” and together with the Transferred Know-How and Transferred Copyrights the “</w:t>
      </w:r>
      <w:r>
        <w:rPr>
          <w:rFonts w:ascii="Times New Roman" w:cs="Times New Roman" w:eastAsia="Times New Roman" w:hAnsi="Times New Roman"/>
          <w:sz w:val="21"/>
          <w:szCs w:val="21"/>
          <w:b w:val="1"/>
          <w:bCs w:val="1"/>
          <w:color w:val="auto"/>
        </w:rPr>
        <w:t>Transferred IP</w:t>
      </w:r>
      <w:r>
        <w:rPr>
          <w:rFonts w:ascii="Times New Roman" w:cs="Times New Roman" w:eastAsia="Times New Roman" w:hAnsi="Times New Roman"/>
          <w:sz w:val="21"/>
          <w:szCs w:val="21"/>
          <w:color w:val="auto"/>
        </w:rPr>
        <w:t>”), and all claims and causes of action related thereto, including for past, present, and future infringement or misappropriation. For clarity, Transferred Know-How does not include Know-How (including Data) related to [**].</w:t>
      </w:r>
    </w:p>
    <w:p>
      <w:pPr>
        <w:spacing w:after="0" w:line="1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(ix)</w:t>
      </w:r>
      <w:r>
        <w:rPr>
          <w:rFonts w:ascii="Times New Roman" w:cs="Times New Roman" w:eastAsia="Times New Roman" w:hAnsi="Times New Roman"/>
          <w:sz w:val="22"/>
          <w:szCs w:val="22"/>
          <w:u w:val="single" w:color="auto"/>
          <w:color w:val="auto"/>
        </w:rPr>
        <w:t>Domain Names</w:t>
      </w:r>
      <w:r>
        <w:rPr>
          <w:rFonts w:ascii="Times New Roman" w:cs="Times New Roman" w:eastAsia="Times New Roman" w:hAnsi="Times New Roman"/>
          <w:sz w:val="22"/>
          <w:szCs w:val="22"/>
          <w:color w:val="auto"/>
        </w:rPr>
        <w:t>. The Internet domain names set forth on Section 9.1(a)(ix) of the Seller Disclosure Letter (the “</w:t>
      </w:r>
      <w:r>
        <w:rPr>
          <w:rFonts w:ascii="Times New Roman" w:cs="Times New Roman" w:eastAsia="Times New Roman" w:hAnsi="Times New Roman"/>
          <w:sz w:val="22"/>
          <w:szCs w:val="22"/>
          <w:b w:val="1"/>
          <w:bCs w:val="1"/>
          <w:color w:val="auto"/>
        </w:rPr>
        <w:t>Transferred Domain Names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9.1(a)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3" w:name="page214"/>
    <w:bookmarkEnd w:id="213"/>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Annex 9.1(b)</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Excluded Assets</w:t>
      </w:r>
    </w:p>
    <w:p>
      <w:pPr>
        <w:spacing w:after="0" w:line="18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The Excluded Assets consist of any assets of Seller or any of the Selling Affiliates that do not constitute Transferred Assets as described on </w:t>
      </w:r>
      <w:r>
        <w:rPr>
          <w:rFonts w:ascii="Times New Roman" w:cs="Times New Roman" w:eastAsia="Times New Roman" w:hAnsi="Times New Roman"/>
          <w:sz w:val="22"/>
          <w:szCs w:val="22"/>
          <w:u w:val="single" w:color="auto"/>
          <w:color w:val="auto"/>
        </w:rPr>
        <w:t>Annex 9.1(a)</w:t>
      </w:r>
      <w:r>
        <w:rPr>
          <w:rFonts w:ascii="Times New Roman" w:cs="Times New Roman" w:eastAsia="Times New Roman" w:hAnsi="Times New Roman"/>
          <w:sz w:val="22"/>
          <w:szCs w:val="22"/>
          <w:color w:val="auto"/>
        </w:rPr>
        <w:t>, including without limitation, the following:</w:t>
      </w:r>
    </w:p>
    <w:p>
      <w:pPr>
        <w:spacing w:after="0" w:line="158" w:lineRule="exact"/>
        <w:rPr>
          <w:sz w:val="20"/>
          <w:szCs w:val="20"/>
          <w:color w:val="auto"/>
        </w:rPr>
      </w:pPr>
    </w:p>
    <w:p>
      <w:pPr>
        <w:jc w:val="both"/>
        <w:ind w:firstLine="757"/>
        <w:spacing w:after="0" w:line="244" w:lineRule="auto"/>
        <w:tabs>
          <w:tab w:leader="none" w:pos="101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Accounts Receivable</w:t>
      </w:r>
      <w:r>
        <w:rPr>
          <w:rFonts w:ascii="Times New Roman" w:cs="Times New Roman" w:eastAsia="Times New Roman" w:hAnsi="Times New Roman"/>
          <w:sz w:val="22"/>
          <w:szCs w:val="22"/>
          <w:color w:val="auto"/>
        </w:rPr>
        <w:t>. All accounts receivable, notes receivable and similar rights to receive payments of Seller or any of the Selling Affiliates existing on the Closing Date and arising out of the operation or conduct of the Business prior to the Closing Date (the “</w:t>
      </w:r>
      <w:r>
        <w:rPr>
          <w:rFonts w:ascii="Times New Roman" w:cs="Times New Roman" w:eastAsia="Times New Roman" w:hAnsi="Times New Roman"/>
          <w:sz w:val="22"/>
          <w:szCs w:val="22"/>
          <w:b w:val="1"/>
          <w:bCs w:val="1"/>
          <w:color w:val="auto"/>
        </w:rPr>
        <w:t>Pre-Closing Accounts Receivable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u w:val="single" w:color="auto"/>
          <w:color w:val="auto"/>
        </w:rPr>
        <w:t>Cash and Cash Equivalents</w:t>
      </w:r>
      <w:r>
        <w:rPr>
          <w:rFonts w:ascii="Times New Roman" w:cs="Times New Roman" w:eastAsia="Times New Roman" w:hAnsi="Times New Roman"/>
          <w:sz w:val="22"/>
          <w:szCs w:val="22"/>
          <w:color w:val="auto"/>
        </w:rPr>
        <w:t>. All cash, cash equivalents and deposits (including marketable securities and other investment assets and all monies received in respect of the sale of warranty programs) held by Seller or any of the Selling Affiliates on the Closing Date.</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u w:val="single" w:color="auto"/>
          <w:color w:val="auto"/>
        </w:rPr>
        <w:t>Hedging or Other Currency Exchange Agreements</w:t>
      </w:r>
      <w:r>
        <w:rPr>
          <w:rFonts w:ascii="Times New Roman" w:cs="Times New Roman" w:eastAsia="Times New Roman" w:hAnsi="Times New Roman"/>
          <w:sz w:val="22"/>
          <w:szCs w:val="22"/>
          <w:color w:val="auto"/>
        </w:rPr>
        <w:t>. All rights to receive payments of Seller or any of the Selling Affiliates pursuant to a hedging or other currency exchange agreement existing on the Closing Date.</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(iv)</w:t>
      </w:r>
      <w:r>
        <w:rPr>
          <w:rFonts w:ascii="Times New Roman" w:cs="Times New Roman" w:eastAsia="Times New Roman" w:hAnsi="Times New Roman"/>
          <w:sz w:val="22"/>
          <w:szCs w:val="22"/>
          <w:u w:val="single" w:color="auto"/>
          <w:color w:val="auto"/>
        </w:rPr>
        <w:t>Benefit Plans</w:t>
      </w:r>
      <w:r>
        <w:rPr>
          <w:rFonts w:ascii="Times New Roman" w:cs="Times New Roman" w:eastAsia="Times New Roman" w:hAnsi="Times New Roman"/>
          <w:sz w:val="22"/>
          <w:szCs w:val="22"/>
          <w:color w:val="auto"/>
        </w:rPr>
        <w:t>. All the assets of and all the assets relating to and all rights under any employee compensation, benefit or welfare plan or any related contract between any Person and Seller or any of the Selling Affiliates (including Business employee benefit plans).</w:t>
      </w:r>
    </w:p>
    <w:p>
      <w:pPr>
        <w:spacing w:after="0" w:line="173" w:lineRule="exact"/>
        <w:rPr>
          <w:sz w:val="20"/>
          <w:szCs w:val="20"/>
          <w:color w:val="auto"/>
        </w:rPr>
      </w:pPr>
    </w:p>
    <w:p>
      <w:pPr>
        <w:jc w:val="both"/>
        <w:ind w:firstLine="757"/>
        <w:spacing w:after="0" w:line="235" w:lineRule="auto"/>
        <w:tabs>
          <w:tab w:leader="none" w:pos="101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Records</w:t>
      </w:r>
      <w:r>
        <w:rPr>
          <w:rFonts w:ascii="Times New Roman" w:cs="Times New Roman" w:eastAsia="Times New Roman" w:hAnsi="Times New Roman"/>
          <w:sz w:val="22"/>
          <w:szCs w:val="22"/>
          <w:color w:val="auto"/>
        </w:rPr>
        <w:t>. Any records and files not related to the Acquired Program or any Acquired Molecule or Acquired Product, including, but not limited to, (A) the personnel records maintained by Seller or any of the Selling Affiliates, (B) Tax Returns (except for Tax Returns relating solely to the Transferred Assets or the Business), (C) records (including accounting records) relating to Taxes paid or payable by Seller or any of the Selling Affiliates and all financial and Tax records relating to the Business that form part of Seller’s or any of the Selling Affiliates’ general ledger or otherwise constitute accounting records not relating solely to the Transferred Assets or the Business, and (D) records prepared in connection with the transactions contemplated by this Agreement or the Ancillary Agreements, including bids received from other Persons and analyses relating to the Business communications among Seller and its advisors.</w:t>
      </w:r>
    </w:p>
    <w:p>
      <w:pPr>
        <w:spacing w:after="0" w:line="1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(vi)</w:t>
      </w:r>
      <w:r>
        <w:rPr>
          <w:rFonts w:ascii="Times New Roman" w:cs="Times New Roman" w:eastAsia="Times New Roman" w:hAnsi="Times New Roman"/>
          <w:sz w:val="22"/>
          <w:szCs w:val="22"/>
          <w:u w:val="single" w:color="auto"/>
          <w:color w:val="auto"/>
        </w:rPr>
        <w:t>Certain Contracts and Contract Rights</w:t>
      </w:r>
      <w:r>
        <w:rPr>
          <w:rFonts w:ascii="Times New Roman" w:cs="Times New Roman" w:eastAsia="Times New Roman" w:hAnsi="Times New Roman"/>
          <w:sz w:val="22"/>
          <w:szCs w:val="22"/>
          <w:color w:val="auto"/>
        </w:rPr>
        <w:t>. All rights of Seller and the Selling Affiliates under (A) this Agreement and the Ancillary Agreements, (B) any Shared Contract, including the Contracts set forth on Section 9.1(b)(vi) of the Seller Disclosure Letter, (C) any Contracts related to shared services and systems provided by Seller or the Selling Affiliates to the Business, other than Buyer’s rights under the Ancillary Agreements, and (D) any contracts between or among Seller and any of the Selling Affiliates or between or among the Selling Affiliates, whether arising before or after the Closing Date (collectively, the “</w:t>
      </w:r>
      <w:r>
        <w:rPr>
          <w:rFonts w:ascii="Times New Roman" w:cs="Times New Roman" w:eastAsia="Times New Roman" w:hAnsi="Times New Roman"/>
          <w:sz w:val="22"/>
          <w:szCs w:val="22"/>
          <w:b w:val="1"/>
          <w:bCs w:val="1"/>
          <w:color w:val="auto"/>
        </w:rPr>
        <w:t>Excluded Contracts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(vii)</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All current and prior insurance policies arranged or maintained by Seller or any of the Selling Affiliates and all rights of any nature with respect thereto, including all rights to insurance recoveries thereunder and to assert claims with respect to any such insurance recoveries, whether arising before or after the Closing Date.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9.1(b)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8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(viii)</w:t>
      </w:r>
      <w:r>
        <w:rPr>
          <w:rFonts w:ascii="Times New Roman" w:cs="Times New Roman" w:eastAsia="Times New Roman" w:hAnsi="Times New Roman"/>
          <w:sz w:val="22"/>
          <w:szCs w:val="22"/>
          <w:u w:val="single" w:color="auto"/>
          <w:color w:val="auto"/>
        </w:rPr>
        <w:t>Corporate Organizational Records</w:t>
      </w:r>
      <w:r>
        <w:rPr>
          <w:rFonts w:ascii="Times New Roman" w:cs="Times New Roman" w:eastAsia="Times New Roman" w:hAnsi="Times New Roman"/>
          <w:sz w:val="22"/>
          <w:szCs w:val="22"/>
          <w:color w:val="auto"/>
        </w:rPr>
        <w:t>. The organizational documents, qualifications to do business as a foreign corporation, arrangements with registered agents relating to foreign qualifications, taxpayer and other identification numbers, seals, minute books, stock transfer books, blank stock certificates and other documents relating to the organization, maintenance and existence of Seller and each of the Selling Affiliates as a corporation or other entity.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(ix)</w:t>
      </w:r>
      <w:r>
        <w:rPr>
          <w:rFonts w:ascii="Times New Roman" w:cs="Times New Roman" w:eastAsia="Times New Roman" w:hAnsi="Times New Roman"/>
          <w:sz w:val="22"/>
          <w:szCs w:val="22"/>
          <w:u w:val="single" w:color="auto"/>
          <w:color w:val="auto"/>
        </w:rPr>
        <w:t>Capital Stock</w:t>
      </w:r>
      <w:r>
        <w:rPr>
          <w:rFonts w:ascii="Times New Roman" w:cs="Times New Roman" w:eastAsia="Times New Roman" w:hAnsi="Times New Roman"/>
          <w:sz w:val="22"/>
          <w:szCs w:val="22"/>
          <w:color w:val="auto"/>
        </w:rPr>
        <w:t>. All shares of capital stock of Seller and the Selling Affiliates.</w:t>
      </w:r>
    </w:p>
    <w:p>
      <w:pPr>
        <w:spacing w:after="0" w:line="206" w:lineRule="exact"/>
        <w:rPr>
          <w:sz w:val="20"/>
          <w:szCs w:val="20"/>
          <w:color w:val="auto"/>
        </w:rPr>
      </w:pPr>
    </w:p>
    <w:p>
      <w:pPr>
        <w:jc w:val="both"/>
        <w:ind w:firstLine="757"/>
        <w:spacing w:after="0" w:line="239" w:lineRule="auto"/>
        <w:tabs>
          <w:tab w:leader="none" w:pos="101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Claims</w:t>
      </w:r>
      <w:r>
        <w:rPr>
          <w:rFonts w:ascii="Times New Roman" w:cs="Times New Roman" w:eastAsia="Times New Roman" w:hAnsi="Times New Roman"/>
          <w:sz w:val="22"/>
          <w:szCs w:val="22"/>
          <w:color w:val="auto"/>
        </w:rPr>
        <w:t>. (A) Refunds and credits, claims for refunds or credits and rights to receive refunds or credits from any Taxing Authority with respect to Taxes arising out of, relating to or in respect of the Business or the Transferred Assets for any Pre-Closing Tax Period and (B) all VAT credits, refunds, or reclaim rights held by Seller or any of the Selling Affiliates on the Closing Date.</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(xi)</w:t>
      </w: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Each of the following: (A) any real property and any buildings, improvements and fixtures thereon; and (B) any leasehold interests, including any prepaid rent, security deposits and options to renew or purchase in connection therewith, of Seller or any of the Selling Affiliates.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(xii)</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Except for Transferred IP, all other IP Rights.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(xiii)</w:t>
      </w:r>
      <w:r>
        <w:rPr>
          <w:rFonts w:ascii="Times New Roman" w:cs="Times New Roman" w:eastAsia="Times New Roman" w:hAnsi="Times New Roman"/>
          <w:sz w:val="22"/>
          <w:szCs w:val="22"/>
          <w:u w:val="single" w:color="auto"/>
          <w:color w:val="auto"/>
        </w:rPr>
        <w:t>Domain Names</w:t>
      </w:r>
      <w:r>
        <w:rPr>
          <w:rFonts w:ascii="Times New Roman" w:cs="Times New Roman" w:eastAsia="Times New Roman" w:hAnsi="Times New Roman"/>
          <w:sz w:val="22"/>
          <w:szCs w:val="22"/>
          <w:color w:val="auto"/>
        </w:rPr>
        <w:t>. All Internet domain names other than the Transferred Domain Names.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(xiv)</w:t>
      </w:r>
      <w:r>
        <w:rPr>
          <w:rFonts w:ascii="Times New Roman" w:cs="Times New Roman" w:eastAsia="Times New Roman" w:hAnsi="Times New Roman"/>
          <w:sz w:val="22"/>
          <w:szCs w:val="22"/>
          <w:u w:val="single" w:color="auto"/>
          <w:color w:val="auto"/>
        </w:rPr>
        <w:t>Excluded IT Systems</w:t>
      </w:r>
      <w:r>
        <w:rPr>
          <w:rFonts w:ascii="Times New Roman" w:cs="Times New Roman" w:eastAsia="Times New Roman" w:hAnsi="Times New Roman"/>
          <w:sz w:val="22"/>
          <w:szCs w:val="22"/>
          <w:color w:val="auto"/>
        </w:rPr>
        <w:t>. All property in the nature of databases, software programs, computer hardware, source code and object code owned or licensed by Seller or any of the Selling Affiliates, in each case that is not otherwise specifically set forth on Section 9.1(a) of the Seller Disclosure Letter.</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(xv)</w:t>
      </w:r>
      <w:r>
        <w:rPr>
          <w:rFonts w:ascii="Times New Roman" w:cs="Times New Roman" w:eastAsia="Times New Roman" w:hAnsi="Times New Roman"/>
          <w:sz w:val="22"/>
          <w:szCs w:val="22"/>
          <w:u w:val="single" w:color="auto"/>
          <w:color w:val="auto"/>
        </w:rPr>
        <w:t>Furniture, Equipment, and Supplies</w:t>
      </w:r>
      <w:r>
        <w:rPr>
          <w:rFonts w:ascii="Times New Roman" w:cs="Times New Roman" w:eastAsia="Times New Roman" w:hAnsi="Times New Roman"/>
          <w:sz w:val="22"/>
          <w:szCs w:val="22"/>
          <w:color w:val="auto"/>
        </w:rPr>
        <w:t>. All furniture and office and laboratory equipment and supplies (other than Transferred Materials).</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9.1(b)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Annex 9.1(c)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Assumed Liabilities</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The Assumed Liabilities consist of the following liabilities and obligations of Seller or any of the Selling Affiliates, but, in each case, specifically excluding any liabilities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clause Annex 9.1(d)(ix)</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Annex 9.1(d)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Excluded Liabilities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firstLine="757"/>
        <w:spacing w:after="0" w:line="258" w:lineRule="auto"/>
        <w:tabs>
          <w:tab w:leader="none" w:pos="101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Accounts Payable</w:t>
      </w:r>
      <w:r>
        <w:rPr>
          <w:rFonts w:ascii="Times New Roman" w:cs="Times New Roman" w:eastAsia="Times New Roman" w:hAnsi="Times New Roman"/>
          <w:sz w:val="22"/>
          <w:szCs w:val="22"/>
          <w:color w:val="auto"/>
        </w:rPr>
        <w:t>. All accrued receipts and accounts payable arising out of or relating to the operation or conduct of the Business after the Closing Date.</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u w:val="single" w:color="auto"/>
          <w:color w:val="auto"/>
        </w:rPr>
        <w:t>Transferred Contract Liabilities</w:t>
      </w:r>
      <w:r>
        <w:rPr>
          <w:rFonts w:ascii="Times New Roman" w:cs="Times New Roman" w:eastAsia="Times New Roman" w:hAnsi="Times New Roman"/>
          <w:sz w:val="22"/>
          <w:szCs w:val="22"/>
          <w:color w:val="auto"/>
        </w:rPr>
        <w:t xml:space="preserve">. All liabilities and obligations arising out of or relating to the Transferred Contracts arising after the Closing Date or relating to any period after the Closing Date, but excluding those in respect of the Pre-Closing Accounts Payable;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Shared Contracts shall be subject to the provisions of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Shared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Contracts</w:t>
      </w:r>
      <w:r>
        <w:rPr>
          <w:rFonts w:ascii="Times New Roman" w:cs="Times New Roman" w:eastAsia="Times New Roman" w:hAnsi="Times New Roman"/>
          <w:sz w:val="22"/>
          <w:szCs w:val="22"/>
          <w:color w:val="auto"/>
        </w:rPr>
        <w:t>). All liabilities arising under the A&amp;R License Agreement will be Assumed Liabilities.</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u w:val="single" w:color="auto"/>
          <w:color w:val="auto"/>
        </w:rPr>
        <w:t>Taxes and Transfer Taxes</w:t>
      </w:r>
      <w:r>
        <w:rPr>
          <w:rFonts w:ascii="Times New Roman" w:cs="Times New Roman" w:eastAsia="Times New Roman" w:hAnsi="Times New Roman"/>
          <w:sz w:val="22"/>
          <w:szCs w:val="22"/>
          <w:color w:val="auto"/>
        </w:rPr>
        <w:t xml:space="preserve">. (A) All Taxes directly arising out of the Transferred Assets for all Post-Closing Tax Periods and (B) all Taxes apportioned to the Buyer pursuant to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Transfer Taxes and Other Costs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Tax Allocation</w:t>
      </w:r>
      <w:r>
        <w:rPr>
          <w:rFonts w:ascii="Times New Roman" w:cs="Times New Roman" w:eastAsia="Times New Roman" w:hAnsi="Times New Roman"/>
          <w:sz w:val="22"/>
          <w:szCs w:val="22"/>
          <w:color w:val="auto"/>
        </w:rPr>
        <w:t>) of this Agreement.</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(iv)</w:t>
      </w:r>
      <w:r>
        <w:rPr>
          <w:rFonts w:ascii="Times New Roman" w:cs="Times New Roman" w:eastAsia="Times New Roman" w:hAnsi="Times New Roman"/>
          <w:sz w:val="22"/>
          <w:szCs w:val="22"/>
          <w:u w:val="single" w:color="auto"/>
          <w:color w:val="auto"/>
        </w:rPr>
        <w:t>Asset Ownership</w:t>
      </w:r>
      <w:r>
        <w:rPr>
          <w:rFonts w:ascii="Times New Roman" w:cs="Times New Roman" w:eastAsia="Times New Roman" w:hAnsi="Times New Roman"/>
          <w:sz w:val="22"/>
          <w:szCs w:val="22"/>
          <w:color w:val="auto"/>
        </w:rPr>
        <w:t>. All liabilities and obligations arising out of or relating to any Transferred Asset or the ownership by Buyer and its Affiliates of any Transferred Asset, in each case, to the extent arising after the Closing Date.</w:t>
      </w:r>
    </w:p>
    <w:p>
      <w:pPr>
        <w:spacing w:after="0" w:line="158" w:lineRule="exact"/>
        <w:rPr>
          <w:sz w:val="20"/>
          <w:szCs w:val="20"/>
          <w:color w:val="auto"/>
        </w:rPr>
      </w:pPr>
    </w:p>
    <w:p>
      <w:pPr>
        <w:jc w:val="both"/>
        <w:ind w:firstLine="757"/>
        <w:spacing w:after="0" w:line="247" w:lineRule="auto"/>
        <w:tabs>
          <w:tab w:leader="none" w:pos="1018"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Product Claims</w:t>
      </w:r>
      <w:r>
        <w:rPr>
          <w:rFonts w:ascii="Times New Roman" w:cs="Times New Roman" w:eastAsia="Times New Roman" w:hAnsi="Times New Roman"/>
          <w:sz w:val="21"/>
          <w:szCs w:val="21"/>
          <w:color w:val="auto"/>
        </w:rPr>
        <w:t>. All liabilities and obligations arising after the Closing Date from or relating to lawsuits or other claims, regardless of when commenced or made and irrespective of the legal theory asserted, arising from or relating to the design, manufacture, testing, advertising, marketing, distribution or sale of the Products, including all liabilities and obligations arising from or relating to (A) warranty obligations, (B) infringement, dilution, misappropriation or other violation of IP Rights,</w:t>
      </w:r>
    </w:p>
    <w:p>
      <w:pPr>
        <w:spacing w:after="0" w:line="1" w:lineRule="exact"/>
        <w:rPr>
          <w:rFonts w:ascii="Times New Roman" w:cs="Times New Roman" w:eastAsia="Times New Roman" w:hAnsi="Times New Roman"/>
          <w:sz w:val="21"/>
          <w:szCs w:val="21"/>
          <w:color w:val="auto"/>
        </w:rPr>
      </w:pPr>
    </w:p>
    <w:p>
      <w:pPr>
        <w:jc w:val="both"/>
        <w:ind w:firstLine="8"/>
        <w:spacing w:after="0" w:line="232" w:lineRule="auto"/>
        <w:tabs>
          <w:tab w:leader="none" w:pos="352"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alleged or actual hazard or defect, physical injury, death, medical care or medical monitoring or loss or damage to property, arising out of or in connection with the design, manufacture, materials or workmanship, testing, advertising, marketing, distribution, sale or use of the Products in the Territory, including any failure to warn or alleged or actual breach of express or implied warranty or representation; or (D) any recall, withdrawal, retrieval or post-sale warning, in each case ((A) through (D)), with respect to Products (or any other Acquired Molecule or Acquired Product) sold or distributed after the Closing Date by or on behalf of Buyer or its Affiliates.</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(vi)</w:t>
      </w:r>
      <w:r>
        <w:rPr>
          <w:rFonts w:ascii="Times New Roman" w:cs="Times New Roman" w:eastAsia="Times New Roman" w:hAnsi="Times New Roman"/>
          <w:sz w:val="22"/>
          <w:szCs w:val="22"/>
          <w:u w:val="single" w:color="auto"/>
          <w:color w:val="auto"/>
        </w:rPr>
        <w:t>Business Claims</w:t>
      </w:r>
      <w:r>
        <w:rPr>
          <w:rFonts w:ascii="Times New Roman" w:cs="Times New Roman" w:eastAsia="Times New Roman" w:hAnsi="Times New Roman"/>
          <w:sz w:val="22"/>
          <w:szCs w:val="22"/>
          <w:color w:val="auto"/>
        </w:rPr>
        <w:t>. Except as otherwise set forth in this Agreement and except for the matters specifically identified as Excluded Liabilities, all obligations and liabilities in respect of any criminal, civil or administrative suit, action or proceeding, pending or threatened, and claims, whether or not presently asserted, arising out of or relating to the operation or conduct of the Business after the Closing Date.</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(vii)</w:t>
      </w:r>
      <w:r>
        <w:rPr>
          <w:rFonts w:ascii="Times New Roman" w:cs="Times New Roman" w:eastAsia="Times New Roman" w:hAnsi="Times New Roman"/>
          <w:sz w:val="22"/>
          <w:szCs w:val="22"/>
          <w:u w:val="single" w:color="auto"/>
          <w:color w:val="auto"/>
        </w:rPr>
        <w:t>Clinical Trials</w:t>
      </w:r>
      <w:r>
        <w:rPr>
          <w:rFonts w:ascii="Times New Roman" w:cs="Times New Roman" w:eastAsia="Times New Roman" w:hAnsi="Times New Roman"/>
          <w:sz w:val="22"/>
          <w:szCs w:val="22"/>
          <w:color w:val="auto"/>
        </w:rPr>
        <w:t>. All liabilities and obligations arising from or relating to Clinical Trials for the Products after the Closing Date.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9.1(c)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Annex 9.1(c)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614045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7" w:name="page218"/>
    <w:bookmarkEnd w:id="217"/>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Annex 9.1(d)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Excluded Liabilities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 Excluded Liabilities consist of the liabilities and obligations of Seller or any of the Selling Affiliates, other than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Assumed Liabilities described in </w:t>
      </w:r>
      <w:r>
        <w:rPr>
          <w:rFonts w:ascii="Times New Roman" w:cs="Times New Roman" w:eastAsia="Times New Roman" w:hAnsi="Times New Roman"/>
          <w:sz w:val="22"/>
          <w:szCs w:val="22"/>
          <w:u w:val="single" w:color="auto"/>
          <w:color w:val="auto"/>
        </w:rPr>
        <w:t>Annex 9.1(c)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Assumed Liabilities</w:t>
      </w:r>
      <w:r>
        <w:rPr>
          <w:rFonts w:ascii="Times New Roman" w:cs="Times New Roman" w:eastAsia="Times New Roman" w:hAnsi="Times New Roman"/>
          <w:sz w:val="22"/>
          <w:szCs w:val="22"/>
          <w:color w:val="auto"/>
        </w:rPr>
        <w:t>), including the following:</w:t>
      </w:r>
    </w:p>
    <w:p>
      <w:pPr>
        <w:spacing w:after="0" w:line="182" w:lineRule="exact"/>
        <w:rPr>
          <w:sz w:val="20"/>
          <w:szCs w:val="20"/>
          <w:color w:val="auto"/>
        </w:rPr>
      </w:pPr>
    </w:p>
    <w:p>
      <w:pPr>
        <w:ind w:firstLine="757"/>
        <w:spacing w:after="0" w:line="258" w:lineRule="auto"/>
        <w:tabs>
          <w:tab w:leader="none" w:pos="1018"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Accounts Payable.</w:t>
      </w:r>
      <w:r>
        <w:rPr>
          <w:rFonts w:ascii="Times New Roman" w:cs="Times New Roman" w:eastAsia="Times New Roman" w:hAnsi="Times New Roman"/>
          <w:sz w:val="22"/>
          <w:szCs w:val="22"/>
          <w:color w:val="auto"/>
        </w:rPr>
        <w:t xml:space="preserve"> All accrued receipts and accounts payable arising out of the ordinary course operation or conduct of the Business before the Closing Date (the “</w:t>
      </w:r>
      <w:r>
        <w:rPr>
          <w:rFonts w:ascii="Times New Roman" w:cs="Times New Roman" w:eastAsia="Times New Roman" w:hAnsi="Times New Roman"/>
          <w:sz w:val="22"/>
          <w:szCs w:val="22"/>
          <w:b w:val="1"/>
          <w:bCs w:val="1"/>
          <w:color w:val="auto"/>
        </w:rPr>
        <w:t>Pre-Closing Accounts Payable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u w:val="single" w:color="auto"/>
          <w:color w:val="auto"/>
        </w:rPr>
        <w:t>Transferred Contract Liabilities</w:t>
      </w:r>
      <w:r>
        <w:rPr>
          <w:rFonts w:ascii="Times New Roman" w:cs="Times New Roman" w:eastAsia="Times New Roman" w:hAnsi="Times New Roman"/>
          <w:sz w:val="22"/>
          <w:szCs w:val="22"/>
          <w:color w:val="auto"/>
        </w:rPr>
        <w:t xml:space="preserve">. All liabilities and obligations arising out of or relating to the Transferred Contracts arising prior to the Closing Date or relating to any period prior to the Closing Date, including those in respect of the Pre-Closing Accounts Payable;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Shared Contracts shall be subject to the provisions of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All liabilities arising under the Exclusive License Agreement dated as of [**] between Seller and [**] (as amended prior to the Closing Date) will be Excluded Liabilities, including any amounts due by Seller or its Affiliates to [**].</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All Taxes (A) of Seller or the Selling Affiliates relating to the Transferred Assets or the Business for Pre-Closing Tax Periods, and (B) of any other Person (including as a transferee, or successor, or as a result of being a member of an affiliated, consolidated, combined or unitary group), in each case, as a result of a transaction occurring or circumstance existing prior to the Closing, but, excluding any Transfer Taxes that are Assumed Liabilities pursuant to Annex 9.1(c)(iii) (</w:t>
      </w:r>
      <w:r>
        <w:rPr>
          <w:rFonts w:ascii="Times New Roman" w:cs="Times New Roman" w:eastAsia="Times New Roman" w:hAnsi="Times New Roman"/>
          <w:sz w:val="22"/>
          <w:szCs w:val="22"/>
          <w:i w:val="1"/>
          <w:iCs w:val="1"/>
          <w:color w:val="auto"/>
        </w:rPr>
        <w:t>Taxes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Transfer Taxes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(iv)</w:t>
      </w:r>
      <w:r>
        <w:rPr>
          <w:rFonts w:ascii="Times New Roman" w:cs="Times New Roman" w:eastAsia="Times New Roman" w:hAnsi="Times New Roman"/>
          <w:sz w:val="22"/>
          <w:szCs w:val="22"/>
          <w:u w:val="single" w:color="auto"/>
          <w:color w:val="auto"/>
        </w:rPr>
        <w:t>Employment Matters</w:t>
      </w:r>
      <w:r>
        <w:rPr>
          <w:rFonts w:ascii="Times New Roman" w:cs="Times New Roman" w:eastAsia="Times New Roman" w:hAnsi="Times New Roman"/>
          <w:sz w:val="22"/>
          <w:szCs w:val="22"/>
          <w:color w:val="auto"/>
        </w:rPr>
        <w:t>. All employment, labor, compensation, pension, retirement savings plans (including 401-Ks), employee welfare and employee benefits related liabilities, obligations, commitments, claims and losses relating to each employee of Seller and its Affiliates, including all former employees of the Business (or any dependent or beneficiary of any such employee), in each case, that arise out of an event or events that occur at any time prior to, on, or after the Closing Date.</w:t>
      </w:r>
    </w:p>
    <w:p>
      <w:pPr>
        <w:spacing w:after="0" w:line="180" w:lineRule="exact"/>
        <w:rPr>
          <w:sz w:val="20"/>
          <w:szCs w:val="20"/>
          <w:color w:val="auto"/>
        </w:rPr>
      </w:pPr>
    </w:p>
    <w:p>
      <w:pPr>
        <w:jc w:val="both"/>
        <w:ind w:firstLine="757"/>
        <w:spacing w:after="0" w:line="239" w:lineRule="auto"/>
        <w:tabs>
          <w:tab w:leader="none" w:pos="1018"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Excluded Asset Liabilities.</w:t>
      </w:r>
      <w:r>
        <w:rPr>
          <w:rFonts w:ascii="Times New Roman" w:cs="Times New Roman" w:eastAsia="Times New Roman" w:hAnsi="Times New Roman"/>
          <w:sz w:val="22"/>
          <w:szCs w:val="22"/>
          <w:color w:val="auto"/>
        </w:rPr>
        <w:t xml:space="preserve"> Each liability, obligation or commitment that relates exclusively to, or that arises exclusively out of, any Excluded Asset, or that arises out of the distribution to, or ownership by, Seller or any of the Selling Affiliates of any Excluded Asset or associated with the realization of the benefits of any Excluded Asset, whether arising before or after the Closing Date.</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(vi)</w:t>
      </w:r>
      <w:r>
        <w:rPr>
          <w:rFonts w:ascii="Times New Roman" w:cs="Times New Roman" w:eastAsia="Times New Roman" w:hAnsi="Times New Roman"/>
          <w:sz w:val="22"/>
          <w:szCs w:val="22"/>
          <w:u w:val="single" w:color="auto"/>
          <w:color w:val="auto"/>
        </w:rPr>
        <w:t>Real Estate Liabilities; Environmental Liabilities</w:t>
      </w:r>
      <w:r>
        <w:rPr>
          <w:rFonts w:ascii="Times New Roman" w:cs="Times New Roman" w:eastAsia="Times New Roman" w:hAnsi="Times New Roman"/>
          <w:sz w:val="22"/>
          <w:szCs w:val="22"/>
          <w:color w:val="auto"/>
        </w:rPr>
        <w:t>. All liabilities and obligations in respect of any real property, including, without limitation, those arising under or relating to any Environmental Law or Hazardous Substances, whether arising prior to, on, or after the Closing Date.</w:t>
      </w:r>
    </w:p>
    <w:p>
      <w:pPr>
        <w:spacing w:after="0" w:line="17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1"/>
          <w:szCs w:val="21"/>
          <w:color w:val="auto"/>
        </w:rPr>
        <w:t>(vii)</w:t>
      </w:r>
      <w:r>
        <w:rPr>
          <w:rFonts w:ascii="Times New Roman" w:cs="Times New Roman" w:eastAsia="Times New Roman" w:hAnsi="Times New Roman"/>
          <w:sz w:val="21"/>
          <w:szCs w:val="21"/>
          <w:u w:val="single" w:color="auto"/>
          <w:color w:val="auto"/>
        </w:rPr>
        <w:t>Asset Ownership</w:t>
      </w:r>
      <w:r>
        <w:rPr>
          <w:rFonts w:ascii="Times New Roman" w:cs="Times New Roman" w:eastAsia="Times New Roman" w:hAnsi="Times New Roman"/>
          <w:sz w:val="21"/>
          <w:szCs w:val="21"/>
          <w:color w:val="auto"/>
        </w:rPr>
        <w:t>. All liabilities and obligations arising out of or relating to any Transferred Asset or the ownership by Buyer and its Affiliates of any Transferred Asset to the extent arising, or relating to the period, prior to the Closing Date.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9.1(d)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8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(viii)</w:t>
      </w:r>
      <w:r>
        <w:rPr>
          <w:rFonts w:ascii="Times New Roman" w:cs="Times New Roman" w:eastAsia="Times New Roman" w:hAnsi="Times New Roman"/>
          <w:sz w:val="22"/>
          <w:szCs w:val="22"/>
          <w:u w:val="single" w:color="auto"/>
          <w:color w:val="auto"/>
        </w:rPr>
        <w:t>Product Claims</w:t>
      </w:r>
      <w:r>
        <w:rPr>
          <w:rFonts w:ascii="Times New Roman" w:cs="Times New Roman" w:eastAsia="Times New Roman" w:hAnsi="Times New Roman"/>
          <w:sz w:val="22"/>
          <w:szCs w:val="22"/>
          <w:color w:val="auto"/>
        </w:rPr>
        <w:t>. All liabilities and obligations arising from or relating to lawsuits or other claims, regardless of when commenced or made and irrespective of the legal theory asserted, arising from or relating to the design, manufacture, testing, advertising, marketing, distribution or sale of the Products, including all liabilities and obligations arising from or relating to (A) warranty obligations, (B) infringement, dilution, misappropriation or other violation of IP Rights, (C) alleged or actual hazard or defect, physical injury, death, medical care or medical monitoring or loss or damage to property, arising out of or in connection with the design, manufacture, materials or workmanship, testing, advertising, marketing, distribution, sale or use of the Products in the Territory, including any failure to warn or alleged or actual breach of express or implied warranty or representation; or (D) any recall, withdrawal, retrieval or post-sale warning, in each case ((A) through (D)), with respect to Products (or any other Acquired Molecule or Acquired Product) sold or distributed prior to the Closing Date by or on behalf of Seller or its Affiliates.</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(ix)</w:t>
      </w:r>
      <w:r>
        <w:rPr>
          <w:rFonts w:ascii="Times New Roman" w:cs="Times New Roman" w:eastAsia="Times New Roman" w:hAnsi="Times New Roman"/>
          <w:sz w:val="22"/>
          <w:szCs w:val="22"/>
          <w:u w:val="single" w:color="auto"/>
          <w:color w:val="auto"/>
        </w:rPr>
        <w:t>Business Claims</w:t>
      </w:r>
      <w:r>
        <w:rPr>
          <w:rFonts w:ascii="Times New Roman" w:cs="Times New Roman" w:eastAsia="Times New Roman" w:hAnsi="Times New Roman"/>
          <w:sz w:val="22"/>
          <w:szCs w:val="22"/>
          <w:color w:val="auto"/>
        </w:rPr>
        <w:t>. Except as otherwise set forth in this Agreement and except for the matters specifically identified as Assumed Liabilities, all obligations and liabilities in respect of any criminal, civil or administrative suit, action or proceeding, pending or threatened, and claims, whether or not presently asserted, arising out of or related to the operation or conduct of the Business prior to the Closing Date.</w:t>
      </w:r>
    </w:p>
    <w:p>
      <w:pPr>
        <w:spacing w:after="0" w:line="180" w:lineRule="exact"/>
        <w:rPr>
          <w:sz w:val="20"/>
          <w:szCs w:val="20"/>
          <w:color w:val="auto"/>
        </w:rPr>
      </w:pPr>
    </w:p>
    <w:p>
      <w:pPr>
        <w:ind w:firstLine="757"/>
        <w:spacing w:after="0" w:line="258" w:lineRule="auto"/>
        <w:tabs>
          <w:tab w:leader="none" w:pos="101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Clinical Trials</w:t>
      </w:r>
      <w:r>
        <w:rPr>
          <w:rFonts w:ascii="Times New Roman" w:cs="Times New Roman" w:eastAsia="Times New Roman" w:hAnsi="Times New Roman"/>
          <w:sz w:val="22"/>
          <w:szCs w:val="22"/>
          <w:color w:val="auto"/>
        </w:rPr>
        <w:t>. All liabilities and obligations arising from or relating to the Clinical Trials for a Product conducted by or on behalf of the Seller or its Affiliates prior to the Closing Date.</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9.1(d)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333" w:lineRule="exact"/>
        <w:rPr>
          <w:sz w:val="20"/>
          <w:szCs w:val="20"/>
          <w:color w:val="auto"/>
        </w:rPr>
      </w:pPr>
    </w:p>
    <w:p>
      <w:pPr>
        <w:ind w:left="1020" w:right="140" w:hanging="503"/>
        <w:spacing w:after="0" w:line="282" w:lineRule="auto"/>
        <w:tabs>
          <w:tab w:leader="none" w:pos="10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S-1 No. 333-278829) of Q32 Bio Inc., as amended by Post-Effective Amendment No. 1 to Form S-1 on Form S-3 Registration Statement (No. 333-278829),</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333-286491) of Q32 Bio Inc.,</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333-285699) pertaining to Q32 Bio Inc. 2024 Stock Option and Incentive Plan and Q32 Bio Inc. 2024 Employee Stock Purchase Plan,</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333-279877) pertaining to Q32 Bio Inc. 2017 Stock Option and Grant Plan, Q32 Bio Inc. 2024 Stock Option and Incentive Plan, Q32 Bio Inc. 2024 Employee Stock Purchase Plan,</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333-270398) pertaining to the Homology Medicines, Inc. 2018 Incentive Award Plan and Homology Medicines, Inc. 2018 Employee Stock Purchase Plan, and</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333-224030) pertaining to the Homology Medicines, Inc. 2015 Stock Incentive Plan, as amended, Homology Medicines, Inc. 2018 Incentive Award Plan and Homology Medicines, Inc. 2018 Employee Stock Purchase Plan;</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of our report dated March 10, 2026, with respect to the consolidated financial statements of Q32 Bio Inc. included in this Annual Report (Form 10-K) of Q32 Bio Inc. for the year ended December 31, 2025.</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Jodie Morrison, certify that:</w:t>
      </w:r>
    </w:p>
    <w:p>
      <w:pPr>
        <w:spacing w:after="0" w:line="225" w:lineRule="exact"/>
        <w:rPr>
          <w:sz w:val="20"/>
          <w:szCs w:val="20"/>
          <w:color w:val="auto"/>
        </w:rPr>
      </w:pPr>
    </w:p>
    <w:p>
      <w:pPr>
        <w:ind w:left="520" w:hanging="512"/>
        <w:spacing w:after="0"/>
        <w:tabs>
          <w:tab w:leader="none" w:pos="5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2025 of Q32 Bio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March 10,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Jodie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Jodie Morrison</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Lee Kalowski, certify that:</w:t>
      </w:r>
    </w:p>
    <w:p>
      <w:pPr>
        <w:spacing w:after="0" w:line="225" w:lineRule="exact"/>
        <w:rPr>
          <w:sz w:val="20"/>
          <w:szCs w:val="20"/>
          <w:color w:val="auto"/>
        </w:rPr>
      </w:pPr>
    </w:p>
    <w:p>
      <w:pPr>
        <w:ind w:left="520" w:hanging="512"/>
        <w:spacing w:after="0"/>
        <w:tabs>
          <w:tab w:leader="none" w:pos="5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2025 of Q32 Bio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80" w:val="left"/>
          <w:tab w:leader="none" w:pos="8000" w:val="left"/>
        </w:tabs>
        <w:rPr>
          <w:sz w:val="20"/>
          <w:szCs w:val="20"/>
          <w:color w:val="auto"/>
        </w:rPr>
      </w:pPr>
      <w:r>
        <w:rPr>
          <w:rFonts w:ascii="Times New Roman" w:cs="Times New Roman" w:eastAsia="Times New Roman" w:hAnsi="Times New Roman"/>
          <w:sz w:val="18"/>
          <w:szCs w:val="18"/>
          <w:color w:val="auto"/>
        </w:rPr>
        <w:t>Date: March 10,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Lee Kalowski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Lee Kalowski</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 and President</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 Jodie Morrison, Chief Executive Officer of Q32 Bio Inc. (the “Company”) hereby certify, pursuant to 18 U.S.C. § 1350, as adopted pursuant to § 906 of the Sarbanes-Oxley Act of 2002, that to the best of my knowledge:</w:t>
      </w:r>
    </w:p>
    <w:p>
      <w:pPr>
        <w:spacing w:after="0" w:line="54" w:lineRule="exact"/>
        <w:rPr>
          <w:sz w:val="20"/>
          <w:szCs w:val="20"/>
          <w:color w:val="auto"/>
        </w:rPr>
      </w:pPr>
    </w:p>
    <w:p>
      <w:pPr>
        <w:ind w:left="1020" w:right="840" w:hanging="503"/>
        <w:spacing w:after="0" w:line="282" w:lineRule="auto"/>
        <w:tabs>
          <w:tab w:leader="none" w:pos="10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December 31, 2025 (the “Report”) fully complies with the requirements of Sections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March 10,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Jodie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Jodie Morrison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 Lee Kalowski, Chief Financial Officer of Q32 Bio Inc. (the “Company”) hereby certify, pursuant to 18 U.S.C. § 1350, as adopted pursuant to § 906 of the Sarbanes-Oxley Act of 2002, that to the best of my knowledge:</w:t>
      </w:r>
    </w:p>
    <w:p>
      <w:pPr>
        <w:spacing w:after="0" w:line="54" w:lineRule="exact"/>
        <w:rPr>
          <w:sz w:val="20"/>
          <w:szCs w:val="20"/>
          <w:color w:val="auto"/>
        </w:rPr>
      </w:pPr>
    </w:p>
    <w:p>
      <w:pPr>
        <w:ind w:left="1020" w:right="840" w:hanging="503"/>
        <w:spacing w:after="0" w:line="282" w:lineRule="auto"/>
        <w:tabs>
          <w:tab w:leader="none" w:pos="10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December 31, 2025 (the “Report”) fully complies with the requirements of Sections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5680" w:val="left"/>
          <w:tab w:leader="none" w:pos="8000" w:val="left"/>
        </w:tabs>
        <w:rPr>
          <w:sz w:val="20"/>
          <w:szCs w:val="20"/>
          <w:color w:val="auto"/>
        </w:rPr>
      </w:pPr>
      <w:r>
        <w:rPr>
          <w:rFonts w:ascii="Times New Roman" w:cs="Times New Roman" w:eastAsia="Times New Roman" w:hAnsi="Times New Roman"/>
          <w:sz w:val="18"/>
          <w:szCs w:val="18"/>
          <w:color w:val="auto"/>
        </w:rPr>
        <w:t>Date: March 10,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Lee Kalowski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Lee Kalowski</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 and President</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4" w:name="page225"/>
    <w:bookmarkEnd w:id="2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
      <w:numFmt w:val="bullet"/>
      <w:start w:val="1"/>
    </w:lvl>
  </w:abstractNum>
  <w:abstractNum w:abstractNumId="7">
    <w:nsid w:val="5DC79EA8"/>
    <w:multiLevelType w:val="hybridMultilevel"/>
    <w:lvl w:ilvl="0">
      <w:lvlJc w:val="left"/>
      <w:lvlText w:val="•"/>
      <w:numFmt w:val="bullet"/>
      <w:start w:val="1"/>
    </w:lvl>
  </w:abstractNum>
  <w:abstractNum w:abstractNumId="8">
    <w:nsid w:val="540A471C"/>
    <w:multiLevelType w:val="hybridMultilevel"/>
    <w:lvl w:ilvl="0">
      <w:lvlJc w:val="left"/>
      <w:lvlText w:val="%1"/>
      <w:numFmt w:val="upperLetter"/>
      <w:start w:val="27"/>
    </w:lvl>
  </w:abstractNum>
  <w:abstractNum w:abstractNumId="9">
    <w:nsid w:val="7BD3EE7B"/>
    <w:multiLevelType w:val="hybridMultilevel"/>
    <w:lvl w:ilvl="0">
      <w:lvlJc w:val="left"/>
      <w:lvlText w:val="%1"/>
      <w:numFmt w:val="upperLetter"/>
      <w:start w:val="27"/>
    </w:lvl>
  </w:abstractNum>
  <w:abstractNum w:abstractNumId="10">
    <w:nsid w:val="51D9C564"/>
    <w:multiLevelType w:val="hybridMultilevel"/>
    <w:lvl w:ilvl="0">
      <w:lvlJc w:val="left"/>
      <w:lvlText w:val="•"/>
      <w:numFmt w:val="bullet"/>
      <w:start w:val="1"/>
    </w:lvl>
  </w:abstractNum>
  <w:abstractNum w:abstractNumId="11">
    <w:nsid w:val="613EFDC5"/>
    <w:multiLevelType w:val="hybridMultilevel"/>
    <w:lvl w:ilvl="0">
      <w:lvlJc w:val="left"/>
      <w:lvlText w:val="•"/>
      <w:numFmt w:val="bullet"/>
      <w:start w:val="1"/>
    </w:lvl>
  </w:abstractNum>
  <w:abstractNum w:abstractNumId="12">
    <w:nsid w:val="BF72B14"/>
    <w:multiLevelType w:val="hybridMultilevel"/>
    <w:lvl w:ilvl="0">
      <w:lvlJc w:val="left"/>
      <w:lvlText w:val="•"/>
      <w:numFmt w:val="bullet"/>
      <w:start w:val="1"/>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
      <w:numFmt w:val="bullet"/>
      <w:start w:val="1"/>
    </w:lvl>
  </w:abstractNum>
  <w:abstractNum w:abstractNumId="15">
    <w:nsid w:val="A0382C5"/>
    <w:multiLevelType w:val="hybridMultilevel"/>
    <w:lvl w:ilvl="0">
      <w:lvlJc w:val="left"/>
      <w:lvlText w:val="•"/>
      <w:numFmt w:val="bullet"/>
      <w:start w:val="1"/>
    </w:lvl>
  </w:abstractNum>
  <w:abstractNum w:abstractNumId="16">
    <w:nsid w:val="8F2B15E"/>
    <w:multiLevelType w:val="hybridMultilevel"/>
    <w:lvl w:ilvl="0">
      <w:lvlJc w:val="left"/>
      <w:lvlText w:val="•"/>
      <w:numFmt w:val="bullet"/>
      <w:start w:val="1"/>
    </w:lvl>
  </w:abstractNum>
  <w:abstractNum w:abstractNumId="17">
    <w:nsid w:val="1A32234B"/>
    <w:multiLevelType w:val="hybridMultilevel"/>
    <w:lvl w:ilvl="0">
      <w:lvlJc w:val="left"/>
      <w:lvlText w:val="•"/>
      <w:numFmt w:val="bullet"/>
      <w:start w:val="1"/>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
      <w:numFmt w:val="bullet"/>
      <w:start w:val="1"/>
    </w:lvl>
  </w:abstractNum>
  <w:abstractNum w:abstractNumId="20">
    <w:nsid w:val="4962813B"/>
    <w:multiLevelType w:val="hybridMultilevel"/>
    <w:lvl w:ilvl="0">
      <w:lvlJc w:val="left"/>
      <w:lvlText w:val="•"/>
      <w:numFmt w:val="bullet"/>
      <w:start w:val="1"/>
    </w:lvl>
  </w:abstractNum>
  <w:abstractNum w:abstractNumId="21">
    <w:nsid w:val="60B6DF70"/>
    <w:multiLevelType w:val="hybridMultilevel"/>
    <w:lvl w:ilvl="0">
      <w:lvlJc w:val="left"/>
      <w:lvlText w:val="%1"/>
      <w:numFmt w:val="upperLetter"/>
      <w:start w:val="27"/>
    </w:lvl>
  </w:abstractNum>
  <w:abstractNum w:abstractNumId="22">
    <w:nsid w:val="6A5EE64"/>
    <w:multiLevelType w:val="hybridMultilevel"/>
    <w:lvl w:ilvl="0">
      <w:lvlJc w:val="left"/>
      <w:lvlText w:val="•"/>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
      <w:numFmt w:val="bullet"/>
      <w:start w:val="1"/>
    </w:lvl>
  </w:abstractNum>
  <w:abstractNum w:abstractNumId="25">
    <w:nsid w:val="1A27709E"/>
    <w:multiLevelType w:val="hybridMultilevel"/>
    <w:lvl w:ilvl="0">
      <w:lvlJc w:val="left"/>
      <w:lvlText w:val="•"/>
      <w:numFmt w:val="bullet"/>
      <w:start w:val="1"/>
    </w:lvl>
  </w:abstractNum>
  <w:abstractNum w:abstractNumId="26">
    <w:nsid w:val="71EA1109"/>
    <w:multiLevelType w:val="hybridMultilevel"/>
    <w:lvl w:ilvl="0">
      <w:lvlJc w:val="left"/>
      <w:lvlText w:val="•"/>
      <w:numFmt w:val="bullet"/>
      <w:start w:val="1"/>
    </w:lvl>
  </w:abstractNum>
  <w:abstractNum w:abstractNumId="27">
    <w:nsid w:val="100F59DC"/>
    <w:multiLevelType w:val="hybridMultilevel"/>
    <w:lvl w:ilvl="0">
      <w:lvlJc w:val="left"/>
      <w:lvlText w:val="•"/>
      <w:numFmt w:val="bullet"/>
      <w:start w:val="1"/>
    </w:lvl>
  </w:abstractNum>
  <w:abstractNum w:abstractNumId="28">
    <w:nsid w:val="7FB7E0AA"/>
    <w:multiLevelType w:val="hybridMultilevel"/>
    <w:lvl w:ilvl="0">
      <w:lvlJc w:val="left"/>
      <w:lvlText w:val="•"/>
      <w:numFmt w:val="bullet"/>
      <w:start w:val="1"/>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
      <w:numFmt w:val="bullet"/>
      <w:start w:val="1"/>
    </w:lvl>
  </w:abstractNum>
  <w:abstractNum w:abstractNumId="31">
    <w:nsid w:val="94211F2"/>
    <w:multiLevelType w:val="hybridMultilevel"/>
    <w:lvl w:ilvl="0">
      <w:lvlJc w:val="left"/>
      <w:lvlText w:val="•"/>
      <w:numFmt w:val="bullet"/>
      <w:start w:val="1"/>
    </w:lvl>
  </w:abstractNum>
  <w:abstractNum w:abstractNumId="32">
    <w:nsid w:val="885E1B"/>
    <w:multiLevelType w:val="hybridMultilevel"/>
    <w:lvl w:ilvl="0">
      <w:lvlJc w:val="left"/>
      <w:lvlText w:val="•"/>
      <w:numFmt w:val="bullet"/>
      <w:start w:val="1"/>
    </w:lvl>
  </w:abstractNum>
  <w:abstractNum w:abstractNumId="33">
    <w:nsid w:val="76272110"/>
    <w:multiLevelType w:val="hybridMultilevel"/>
    <w:lvl w:ilvl="0">
      <w:lvlJc w:val="left"/>
      <w:lvlText w:val="•"/>
      <w:numFmt w:val="bullet"/>
      <w:start w:val="1"/>
    </w:lvl>
  </w:abstractNum>
  <w:abstractNum w:abstractNumId="34">
    <w:nsid w:val="4C04A8AF"/>
    <w:multiLevelType w:val="hybridMultilevel"/>
    <w:lvl w:ilvl="0">
      <w:lvlJc w:val="left"/>
      <w:lvlText w:val="•"/>
      <w:numFmt w:val="bullet"/>
      <w:start w:val="1"/>
    </w:lvl>
  </w:abstractNum>
  <w:abstractNum w:abstractNumId="35">
    <w:nsid w:val="1716703B"/>
    <w:multiLevelType w:val="hybridMultilevel"/>
    <w:lvl w:ilvl="0">
      <w:lvlJc w:val="left"/>
      <w:lvlText w:val="•"/>
      <w:numFmt w:val="bullet"/>
      <w:start w:val="1"/>
    </w:lvl>
  </w:abstractNum>
  <w:abstractNum w:abstractNumId="36">
    <w:nsid w:val="14E17E33"/>
    <w:multiLevelType w:val="hybridMultilevel"/>
    <w:lvl w:ilvl="0">
      <w:lvlJc w:val="left"/>
      <w:lvlText w:val="•"/>
      <w:numFmt w:val="bullet"/>
      <w:start w:val="1"/>
    </w:lvl>
  </w:abstractNum>
  <w:abstractNum w:abstractNumId="37">
    <w:nsid w:val="3222E7CD"/>
    <w:multiLevelType w:val="hybridMultilevel"/>
    <w:lvl w:ilvl="0">
      <w:lvlJc w:val="left"/>
      <w:lvlText w:val="•"/>
      <w:numFmt w:val="bullet"/>
      <w:start w:val="1"/>
    </w:lvl>
  </w:abstractNum>
  <w:abstractNum w:abstractNumId="38">
    <w:nsid w:val="74DE0EE3"/>
    <w:multiLevelType w:val="hybridMultilevel"/>
    <w:lvl w:ilvl="0">
      <w:lvlJc w:val="left"/>
      <w:lvlText w:val="/"/>
      <w:numFmt w:val="bullet"/>
      <w:start w:val="1"/>
    </w:lvl>
  </w:abstractNum>
  <w:abstractNum w:abstractNumId="39">
    <w:nsid w:val="68EBC550"/>
    <w:multiLevelType w:val="hybridMultilevel"/>
    <w:lvl w:ilvl="0">
      <w:lvlJc w:val="left"/>
      <w:lvlText w:val="•"/>
      <w:numFmt w:val="bullet"/>
      <w:start w:val="1"/>
    </w:lvl>
  </w:abstractNum>
  <w:abstractNum w:abstractNumId="40">
    <w:nsid w:val="2DF6D648"/>
    <w:multiLevelType w:val="hybridMultilevel"/>
    <w:lvl w:ilvl="0">
      <w:lvlJc w:val="left"/>
      <w:lvlText w:val="•"/>
      <w:numFmt w:val="bullet"/>
      <w:start w:val="1"/>
    </w:lvl>
  </w:abstractNum>
  <w:abstractNum w:abstractNumId="41">
    <w:nsid w:val="46B7D447"/>
    <w:multiLevelType w:val="hybridMultilevel"/>
    <w:lvl w:ilvl="0">
      <w:lvlJc w:val="left"/>
      <w:lvlText w:val="•"/>
      <w:numFmt w:val="bullet"/>
      <w:start w:val="1"/>
    </w:lvl>
  </w:abstractNum>
  <w:abstractNum w:abstractNumId="42">
    <w:nsid w:val="4A2AC315"/>
    <w:multiLevelType w:val="hybridMultilevel"/>
    <w:lvl w:ilvl="0">
      <w:lvlJc w:val="left"/>
      <w:lvlText w:val="•"/>
      <w:numFmt w:val="bullet"/>
      <w:start w:val="1"/>
    </w:lvl>
  </w:abstractNum>
  <w:abstractNum w:abstractNumId="43">
    <w:nsid w:val="39EE015C"/>
    <w:multiLevelType w:val="hybridMultilevel"/>
    <w:lvl w:ilvl="0">
      <w:lvlJc w:val="left"/>
      <w:lvlText w:val="•"/>
      <w:numFmt w:val="bullet"/>
      <w:start w:val="1"/>
    </w:lvl>
  </w:abstractNum>
  <w:abstractNum w:abstractNumId="44">
    <w:nsid w:val="57FC4FBB"/>
    <w:multiLevelType w:val="hybridMultilevel"/>
    <w:lvl w:ilvl="0">
      <w:lvlJc w:val="left"/>
      <w:lvlText w:val="**"/>
      <w:numFmt w:val="bullet"/>
      <w:start w:val="1"/>
    </w:lvl>
  </w:abstractNum>
  <w:abstractNum w:abstractNumId="45">
    <w:nsid w:val="CC1016F"/>
    <w:multiLevelType w:val="hybridMultilevel"/>
    <w:lvl w:ilvl="0">
      <w:lvlJc w:val="left"/>
      <w:lvlText w:val="†"/>
      <w:numFmt w:val="bullet"/>
      <w:start w:val="1"/>
    </w:lvl>
  </w:abstractNum>
  <w:abstractNum w:abstractNumId="46">
    <w:nsid w:val="43F18422"/>
    <w:multiLevelType w:val="hybridMultilevel"/>
    <w:lvl w:ilvl="0">
      <w:lvlJc w:val="left"/>
      <w:lvlText w:val="+"/>
      <w:numFmt w:val="bullet"/>
      <w:start w:val="1"/>
    </w:lvl>
  </w:abstractNum>
  <w:abstractNum w:abstractNumId="47">
    <w:nsid w:val="60EF0119"/>
    <w:multiLevelType w:val="hybridMultilevel"/>
    <w:lvl w:ilvl="0">
      <w:lvlJc w:val="left"/>
      <w:lvlText w:val="(%1)"/>
      <w:numFmt w:val="lowerRoman"/>
      <w:start w:val="2"/>
    </w:lvl>
  </w:abstractNum>
  <w:abstractNum w:abstractNumId="48">
    <w:nsid w:val="26F324BA"/>
    <w:multiLevelType w:val="hybridMultilevel"/>
    <w:lvl w:ilvl="0">
      <w:lvlJc w:val="left"/>
      <w:lvlText w:val="%1."/>
      <w:numFmt w:val="decimal"/>
      <w:start w:val="11"/>
    </w:lvl>
  </w:abstractNum>
  <w:abstractNum w:abstractNumId="49">
    <w:nsid w:val="7F01579B"/>
    <w:multiLevelType w:val="hybridMultilevel"/>
    <w:lvl w:ilvl="0">
      <w:lvlJc w:val="left"/>
      <w:lvlText w:val="%1."/>
      <w:numFmt w:val="decimal"/>
      <w:start w:val="14"/>
    </w:lvl>
  </w:abstractNum>
  <w:abstractNum w:abstractNumId="50">
    <w:nsid w:val="49DA307D"/>
    <w:multiLevelType w:val="hybridMultilevel"/>
    <w:lvl w:ilvl="0">
      <w:lvlJc w:val="left"/>
      <w:lvlText w:val="(%1)"/>
      <w:numFmt w:val="decimal"/>
      <w:start w:val="1"/>
    </w:lvl>
  </w:abstractNum>
  <w:abstractNum w:abstractNumId="51">
    <w:nsid w:val="7055A5F5"/>
    <w:multiLevelType w:val="hybridMultilevel"/>
    <w:lvl w:ilvl="0">
      <w:lvlJc w:val="left"/>
      <w:lvlText w:val="•"/>
      <w:numFmt w:val="bullet"/>
      <w:start w:val="1"/>
    </w:lvl>
  </w:abstractNum>
  <w:abstractNum w:abstractNumId="52">
    <w:nsid w:val="5FB8370B"/>
    <w:multiLevelType w:val="hybridMultilevel"/>
    <w:lvl w:ilvl="0">
      <w:lvlJc w:val="left"/>
      <w:lvlText w:val="(%1)"/>
      <w:numFmt w:val="lowerLetter"/>
      <w:start w:val="1"/>
    </w:lvl>
  </w:abstractNum>
  <w:abstractNum w:abstractNumId="53">
    <w:nsid w:val="50801EE1"/>
    <w:multiLevelType w:val="hybridMultilevel"/>
    <w:lvl w:ilvl="0">
      <w:lvlJc w:val="left"/>
      <w:lvlText w:val="(%1)"/>
      <w:numFmt w:val="lowerLetter"/>
      <w:start w:val="3"/>
    </w:lvl>
    <w:lvl w:ilvl="1">
      <w:lvlJc w:val="left"/>
      <w:lvlText w:val="(%2)"/>
      <w:numFmt w:val="lowerLetter"/>
      <w:start w:val="9"/>
    </w:lvl>
  </w:abstractNum>
  <w:abstractNum w:abstractNumId="54">
    <w:nsid w:val="488AC1A"/>
    <w:multiLevelType w:val="hybridMultilevel"/>
    <w:lvl w:ilvl="0">
      <w:lvlJc w:val="left"/>
      <w:lvlText w:val="%1"/>
      <w:numFmt w:val="lowerRoman"/>
      <w:start w:val="1"/>
    </w:lvl>
    <w:lvl w:ilvl="1">
      <w:lvlJc w:val="left"/>
      <w:lvlText w:val="(%2)"/>
      <w:numFmt w:val="lowerRoman"/>
      <w:start w:val="2"/>
    </w:lvl>
  </w:abstractNum>
  <w:abstractNum w:abstractNumId="55">
    <w:nsid w:val="5FB8011C"/>
    <w:multiLevelType w:val="hybridMultilevel"/>
    <w:lvl w:ilvl="0">
      <w:lvlJc w:val="left"/>
      <w:lvlText w:val="(%1)"/>
      <w:numFmt w:val="lowerRoman"/>
      <w:start w:val="10"/>
    </w:lvl>
    <w:lvl w:ilvl="1">
      <w:lvlJc w:val="left"/>
      <w:lvlText w:val="%2"/>
      <w:numFmt w:val="lowerRoman"/>
      <w:start w:val="1"/>
    </w:lvl>
  </w:abstractNum>
  <w:abstractNum w:abstractNumId="56">
    <w:nsid w:val="6AA78F7F"/>
    <w:multiLevelType w:val="hybridMultilevel"/>
    <w:lvl w:ilvl="0">
      <w:lvlJc w:val="left"/>
      <w:lvlText w:val="(%1)"/>
      <w:numFmt w:val="lowerLetter"/>
      <w:start w:val="8"/>
    </w:lvl>
  </w:abstractNum>
  <w:abstractNum w:abstractNumId="57">
    <w:nsid w:val="7672BD2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8">
    <w:nsid w:val="6FC75AF8"/>
    <w:multiLevelType w:val="hybridMultilevel"/>
    <w:lvl w:ilvl="0">
      <w:lvlJc w:val="left"/>
      <w:lvlText w:val="(%1)"/>
      <w:numFmt w:val="lowerRoman"/>
      <w:start w:val="5"/>
    </w:lvl>
  </w:abstractNum>
  <w:abstractNum w:abstractNumId="59">
    <w:nsid w:val="6A5F702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0">
    <w:nsid w:val="7D5E18F8"/>
    <w:multiLevelType w:val="hybridMultilevel"/>
    <w:lvl w:ilvl="0">
      <w:lvlJc w:val="left"/>
      <w:lvlText w:val="(%1)"/>
      <w:numFmt w:val="lowerLetter"/>
      <w:start w:val="1"/>
    </w:lvl>
    <w:lvl w:ilvl="1">
      <w:lvlJc w:val="left"/>
      <w:lvlText w:val="(%2)"/>
      <w:numFmt w:val="lowerRoman"/>
      <w:start w:val="1"/>
    </w:lvl>
  </w:abstractNum>
  <w:abstractNum w:abstractNumId="61">
    <w:nsid w:val="5F3534A4"/>
    <w:multiLevelType w:val="hybridMultilevel"/>
    <w:lvl w:ilvl="0">
      <w:lvlJc w:val="left"/>
      <w:lvlText w:val="(%1)"/>
      <w:numFmt w:val="lowerLetter"/>
      <w:start w:val="1"/>
    </w:lvl>
    <w:lvl w:ilvl="1">
      <w:lvlJc w:val="left"/>
      <w:lvlText w:val="(%2)"/>
      <w:numFmt w:val="lowerLetter"/>
      <w:start w:val="9"/>
    </w:lvl>
  </w:abstractNum>
  <w:abstractNum w:abstractNumId="62">
    <w:nsid w:val="73A1821B"/>
    <w:multiLevelType w:val="hybridMultilevel"/>
    <w:lvl w:ilvl="0">
      <w:lvlJc w:val="left"/>
      <w:lvlText w:val="(%1)"/>
      <w:numFmt w:val="lowerRoman"/>
      <w:start w:val="2"/>
    </w:lvl>
  </w:abstractNum>
  <w:abstractNum w:abstractNumId="63">
    <w:nsid w:val="7DE67713"/>
    <w:multiLevelType w:val="hybridMultilevel"/>
    <w:lvl w:ilvl="0">
      <w:lvlJc w:val="left"/>
      <w:lvlText w:val="(%1)"/>
      <w:numFmt w:val="lowerRoman"/>
      <w:start w:val="5"/>
    </w:lvl>
  </w:abstractNum>
  <w:abstractNum w:abstractNumId="64">
    <w:nsid w:val="555C55B5"/>
    <w:multiLevelType w:val="hybridMultilevel"/>
    <w:lvl w:ilvl="0">
      <w:lvlJc w:val="left"/>
      <w:lvlText w:val="(%1)"/>
      <w:numFmt w:val="lowerLetter"/>
      <w:start w:val="2"/>
    </w:lvl>
    <w:lvl w:ilvl="1">
      <w:lvlJc w:val="left"/>
      <w:lvlText w:val="(%2)"/>
      <w:numFmt w:val="lowerLetter"/>
      <w:start w:val="9"/>
    </w:lvl>
  </w:abstractNum>
  <w:abstractNum w:abstractNumId="65">
    <w:nsid w:val="3FA62ACA"/>
    <w:multiLevelType w:val="hybridMultilevel"/>
    <w:lvl w:ilvl="0">
      <w:lvlJc w:val="left"/>
      <w:lvlText w:val="(%1)"/>
      <w:numFmt w:val="lowerRoman"/>
      <w:start w:val="2"/>
    </w:lvl>
  </w:abstractNum>
  <w:abstractNum w:abstractNumId="66">
    <w:nsid w:val="14FCE74E"/>
    <w:multiLevelType w:val="hybridMultilevel"/>
    <w:lvl w:ilvl="0">
      <w:lvlJc w:val="left"/>
      <w:lvlText w:val="%1"/>
      <w:numFmt w:val="lowerLetter"/>
      <w:start w:val="1"/>
    </w:lvl>
    <w:lvl w:ilvl="1">
      <w:lvlJc w:val="left"/>
      <w:lvlText w:val="(%2)"/>
      <w:numFmt w:val="lowerLetter"/>
      <w:start w:val="22"/>
    </w:lvl>
  </w:abstractNum>
  <w:abstractNum w:abstractNumId="67">
    <w:nsid w:val="6A3DD3E8"/>
    <w:multiLevelType w:val="hybridMultilevel"/>
    <w:lvl w:ilvl="0">
      <w:lvlJc w:val="left"/>
      <w:lvlText w:val="(%1)"/>
      <w:numFmt w:val="lowerLetter"/>
      <w:start w:val="3"/>
    </w:lvl>
    <w:lvl w:ilvl="1">
      <w:lvlJc w:val="left"/>
      <w:lvlText w:val="(%2)"/>
      <w:numFmt w:val="lowerLetter"/>
      <w:start w:val="9"/>
    </w:lvl>
  </w:abstractNum>
  <w:abstractNum w:abstractNumId="68">
    <w:nsid w:val="71C91298"/>
    <w:multiLevelType w:val="hybridMultilevel"/>
    <w:lvl w:ilvl="0">
      <w:lvlJc w:val="left"/>
      <w:lvlText w:val="%1"/>
      <w:numFmt w:val="lowerRoman"/>
      <w:start w:val="1"/>
    </w:lvl>
    <w:lvl w:ilvl="1">
      <w:lvlJc w:val="left"/>
      <w:lvlText w:val="(%2)"/>
      <w:numFmt w:val="lowerRoman"/>
      <w:start w:val="2"/>
    </w:lvl>
  </w:abstractNum>
  <w:abstractNum w:abstractNumId="69">
    <w:nsid w:val="9DAF632"/>
    <w:multiLevelType w:val="hybridMultilevel"/>
    <w:lvl w:ilvl="0">
      <w:lvlJc w:val="left"/>
      <w:lvlText w:val="(%1)"/>
      <w:numFmt w:val="lowerRoman"/>
      <w:start w:val="1"/>
    </w:lvl>
    <w:lvl w:ilvl="1">
      <w:lvlJc w:val="left"/>
      <w:lvlText w:val="%2"/>
      <w:numFmt w:val="lowerRoman"/>
      <w:start w:val="1"/>
    </w:lvl>
  </w:abstractNum>
  <w:abstractNum w:abstractNumId="70">
    <w:nsid w:val="53299938"/>
    <w:multiLevelType w:val="hybridMultilevel"/>
    <w:lvl w:ilvl="0">
      <w:lvlJc w:val="left"/>
      <w:lvlText w:val="(%1)"/>
      <w:numFmt w:val="upperLetter"/>
      <w:start w:val="1"/>
    </w:lvl>
  </w:abstractNum>
  <w:abstractNum w:abstractNumId="71">
    <w:nsid w:val="1FBFE8E0"/>
    <w:multiLevelType w:val="hybridMultilevel"/>
    <w:lvl w:ilvl="0">
      <w:lvlJc w:val="left"/>
      <w:lvlText w:val="[**]"/>
      <w:numFmt w:val="bullet"/>
      <w:start w:val="1"/>
    </w:lvl>
    <w:lvl w:ilvl="1">
      <w:lvlJc w:val="left"/>
      <w:lvlText w:val="(%2)"/>
      <w:numFmt w:val="upperLetter"/>
      <w:start w:val="2"/>
    </w:lvl>
  </w:abstractNum>
  <w:abstractNum w:abstractNumId="72">
    <w:nsid w:val="5092CA79"/>
    <w:multiLevelType w:val="hybridMultilevel"/>
    <w:lvl w:ilvl="0">
      <w:lvlJc w:val="left"/>
      <w:lvlText w:val="[**]"/>
      <w:numFmt w:val="bullet"/>
      <w:start w:val="1"/>
    </w:lvl>
    <w:lvl w:ilvl="1">
      <w:lvlJc w:val="left"/>
      <w:lvlText w:val="(%2)"/>
      <w:numFmt w:val="upperLetter"/>
      <w:start w:val="4"/>
    </w:lvl>
  </w:abstractNum>
  <w:abstractNum w:abstractNumId="73">
    <w:nsid w:val="1D545C4D"/>
    <w:multiLevelType w:val="hybridMultilevel"/>
    <w:lvl w:ilvl="0">
      <w:lvlJc w:val="left"/>
      <w:lvlText w:val="%1"/>
      <w:numFmt w:val="lowerRoman"/>
      <w:start w:val="1"/>
    </w:lvl>
    <w:lvl w:ilvl="1">
      <w:lvlJc w:val="left"/>
      <w:lvlText w:val="(%2)"/>
      <w:numFmt w:val="upperLetter"/>
      <w:start w:val="5"/>
    </w:lvl>
  </w:abstractNum>
  <w:abstractNum w:abstractNumId="74">
    <w:nsid w:val="59ADEA3D"/>
    <w:multiLevelType w:val="hybridMultilevel"/>
    <w:lvl w:ilvl="0">
      <w:lvlJc w:val="left"/>
      <w:lvlText w:val="(%1)"/>
      <w:numFmt w:val="lowerRoman"/>
      <w:start w:val="5"/>
    </w:lvl>
    <w:lvl w:ilvl="1">
      <w:lvlJc w:val="left"/>
      <w:lvlText w:val="%2"/>
      <w:numFmt w:val="upperLetter"/>
      <w:start w:val="1"/>
    </w:lvl>
  </w:abstractNum>
  <w:abstractNum w:abstractNumId="75">
    <w:nsid w:val="288F1A34"/>
    <w:multiLevelType w:val="hybridMultilevel"/>
    <w:lvl w:ilvl="0">
      <w:lvlJc w:val="left"/>
      <w:lvlText w:val="(%1)"/>
      <w:numFmt w:val="lowerLetter"/>
      <w:start w:val="4"/>
    </w:lvl>
  </w:abstractNum>
  <w:abstractNum w:abstractNumId="76">
    <w:nsid w:val="2A155DBC"/>
    <w:multiLevelType w:val="hybridMultilevel"/>
    <w:lvl w:ilvl="0">
      <w:lvlJc w:val="left"/>
      <w:lvlText w:val="[**]"/>
      <w:numFmt w:val="bullet"/>
      <w:start w:val="1"/>
    </w:lvl>
  </w:abstractNum>
  <w:abstractNum w:abstractNumId="77">
    <w:nsid w:val="1D9F6E5F"/>
    <w:multiLevelType w:val="hybridMultilevel"/>
    <w:lvl w:ilvl="0">
      <w:lvlJc w:val="left"/>
      <w:lvlText w:val="(%1)"/>
      <w:numFmt w:val="lowerLetter"/>
      <w:start w:val="1"/>
    </w:lvl>
    <w:lvl w:ilvl="1">
      <w:lvlJc w:val="left"/>
      <w:lvlText w:val="(%2)"/>
      <w:numFmt w:val="lowerRoman"/>
      <w:start w:val="1"/>
    </w:lvl>
  </w:abstractNum>
  <w:abstractNum w:abstractNumId="78">
    <w:nsid w:val="97E1B4E"/>
    <w:multiLevelType w:val="hybridMultilevel"/>
    <w:lvl w:ilvl="0">
      <w:lvlJc w:val="left"/>
      <w:lvlText w:val="(%1)"/>
      <w:numFmt w:val="lowerRoman"/>
      <w:start w:val="5"/>
    </w:lvl>
  </w:abstractNum>
  <w:abstractNum w:abstractNumId="79">
    <w:nsid w:val="51088277"/>
    <w:multiLevelType w:val="hybridMultilevel"/>
    <w:lvl w:ilvl="0">
      <w:lvlJc w:val="left"/>
      <w:lvlText w:val="(%1)"/>
      <w:numFmt w:val="lowerLetter"/>
      <w:start w:val="1"/>
    </w:lvl>
  </w:abstractNum>
  <w:abstractNum w:abstractNumId="80">
    <w:nsid w:val="1CA0C5FA"/>
    <w:multiLevelType w:val="hybridMultilevel"/>
    <w:lvl w:ilvl="0">
      <w:lvlJc w:val="left"/>
      <w:lvlText w:val="(%1)"/>
      <w:numFmt w:val="lowerLetter"/>
      <w:start w:val="1"/>
    </w:lvl>
  </w:abstractNum>
  <w:abstractNum w:abstractNumId="81">
    <w:nsid w:val="53584BCB"/>
    <w:multiLevelType w:val="hybridMultilevel"/>
    <w:lvl w:ilvl="0">
      <w:lvlJc w:val="left"/>
      <w:lvlText w:val="(%1)"/>
      <w:numFmt w:val="lowerLetter"/>
      <w:start w:val="4"/>
    </w:lvl>
  </w:abstractNum>
  <w:abstractNum w:abstractNumId="82">
    <w:nsid w:val="415E286C"/>
    <w:multiLevelType w:val="hybridMultilevel"/>
    <w:lvl w:ilvl="0">
      <w:lvlJc w:val="left"/>
      <w:lvlText w:val="(%1)"/>
      <w:numFmt w:val="lowerLetter"/>
      <w:start w:val="1"/>
    </w:lvl>
  </w:abstractNum>
  <w:abstractNum w:abstractNumId="83">
    <w:nsid w:val="7C58FD05"/>
    <w:multiLevelType w:val="hybridMultilevel"/>
    <w:lvl w:ilvl="0">
      <w:lvlJc w:val="left"/>
      <w:lvlText w:val="(%1)"/>
      <w:numFmt w:val="lowerLetter"/>
      <w:start w:val="1"/>
    </w:lvl>
  </w:abstractNum>
  <w:abstractNum w:abstractNumId="84">
    <w:nsid w:val="23D86AAC"/>
    <w:multiLevelType w:val="hybridMultilevel"/>
    <w:lvl w:ilvl="0">
      <w:lvlJc w:val="left"/>
      <w:lvlText w:val="(%1)"/>
      <w:numFmt w:val="lowerLetter"/>
      <w:start w:val="5"/>
    </w:lvl>
  </w:abstractNum>
  <w:abstractNum w:abstractNumId="85">
    <w:nsid w:val="45E6D486"/>
    <w:multiLevelType w:val="hybridMultilevel"/>
    <w:lvl w:ilvl="0">
      <w:lvlJc w:val="left"/>
      <w:lvlText w:val="(%1)"/>
      <w:numFmt w:val="lowerLetter"/>
      <w:start w:val="1"/>
    </w:lvl>
    <w:lvl w:ilvl="1">
      <w:lvlJc w:val="left"/>
      <w:lvlText w:val="(%2)"/>
      <w:numFmt w:val="lowerRoman"/>
      <w:start w:val="1"/>
    </w:lvl>
  </w:abstractNum>
  <w:abstractNum w:abstractNumId="86">
    <w:nsid w:val="5C10FE21"/>
    <w:multiLevelType w:val="hybridMultilevel"/>
    <w:lvl w:ilvl="0">
      <w:lvlJc w:val="left"/>
      <w:lvlText w:val="(%1)"/>
      <w:numFmt w:val="lowerRoman"/>
      <w:start w:val="5"/>
    </w:lvl>
  </w:abstractNum>
  <w:abstractNum w:abstractNumId="87">
    <w:nsid w:val="E7FFA2B"/>
    <w:multiLevelType w:val="hybridMultilevel"/>
    <w:lvl w:ilvl="0">
      <w:lvlJc w:val="left"/>
      <w:lvlText w:val="%1"/>
      <w:numFmt w:val="lowerLetter"/>
      <w:start w:val="1"/>
    </w:lvl>
    <w:lvl w:ilvl="1">
      <w:lvlJc w:val="left"/>
      <w:lvlText w:val="(%2)"/>
      <w:numFmt w:val="lowerLetter"/>
      <w:start w:val="24"/>
    </w:lvl>
  </w:abstractNum>
  <w:abstractNum w:abstractNumId="88">
    <w:nsid w:val="3C5991AA"/>
    <w:multiLevelType w:val="hybridMultilevel"/>
    <w:lvl w:ilvl="0">
      <w:lvlJc w:val="left"/>
      <w:lvlText w:val="(%1)"/>
      <w:numFmt w:val="lowerLetter"/>
      <w:start w:val="2"/>
    </w:lvl>
    <w:lvl w:ilvl="1">
      <w:lvlJc w:val="left"/>
      <w:lvlText w:val="%2"/>
      <w:numFmt w:val="lowerLetter"/>
      <w:start w:val="1"/>
    </w:lvl>
  </w:abstractNum>
  <w:abstractNum w:abstractNumId="89">
    <w:nsid w:val="4BD8591A"/>
    <w:multiLevelType w:val="hybridMultilevel"/>
    <w:lvl w:ilvl="0">
      <w:lvlJc w:val="left"/>
      <w:lvlText w:val="(%1)"/>
      <w:numFmt w:val="lowerLetter"/>
      <w:start w:val="1"/>
    </w:lvl>
  </w:abstractNum>
  <w:abstractNum w:abstractNumId="90">
    <w:nsid w:val="78DF6A55"/>
    <w:multiLevelType w:val="hybridMultilevel"/>
    <w:lvl w:ilvl="0">
      <w:lvlJc w:val="left"/>
      <w:lvlText w:val="(%1)"/>
      <w:numFmt w:val="lowerLetter"/>
      <w:start w:val="5"/>
    </w:lvl>
  </w:abstractNum>
  <w:abstractNum w:abstractNumId="91">
    <w:nsid w:val="39B7AAA2"/>
    <w:multiLevelType w:val="hybridMultilevel"/>
    <w:lvl w:ilvl="0">
      <w:lvlJc w:val="left"/>
      <w:lvlText w:val="(%1)"/>
      <w:numFmt w:val="lowerLetter"/>
      <w:start w:val="1"/>
    </w:lvl>
  </w:abstractNum>
  <w:abstractNum w:abstractNumId="92">
    <w:nsid w:val="2B0D8DBE"/>
    <w:multiLevelType w:val="hybridMultilevel"/>
    <w:lvl w:ilvl="0">
      <w:lvlJc w:val="left"/>
      <w:lvlText w:val="(%1)"/>
      <w:numFmt w:val="lowerLetter"/>
      <w:start w:val="4"/>
    </w:lvl>
  </w:abstractNum>
  <w:abstractNum w:abstractNumId="93">
    <w:nsid w:val="6C80EC70"/>
    <w:multiLevelType w:val="hybridMultilevel"/>
    <w:lvl w:ilvl="0">
      <w:lvlJc w:val="left"/>
      <w:lvlText w:val="(%1)"/>
      <w:numFmt w:val="lowerLetter"/>
      <w:start w:val="1"/>
    </w:lvl>
  </w:abstractNum>
  <w:abstractNum w:abstractNumId="94">
    <w:nsid w:val="379E21B5"/>
    <w:multiLevelType w:val="hybridMultilevel"/>
    <w:lvl w:ilvl="0">
      <w:lvlJc w:val="left"/>
      <w:lvlText w:val="(%1)"/>
      <w:numFmt w:val="lowerLetter"/>
      <w:start w:val="5"/>
    </w:lvl>
  </w:abstractNum>
  <w:abstractNum w:abstractNumId="95">
    <w:nsid w:val="69E373"/>
    <w:multiLevelType w:val="hybridMultilevel"/>
    <w:lvl w:ilvl="0">
      <w:lvlJc w:val="left"/>
      <w:lvlText w:val="(%1)"/>
      <w:numFmt w:val="lowerLetter"/>
      <w:start w:val="1"/>
    </w:lvl>
  </w:abstractNum>
  <w:abstractNum w:abstractNumId="96">
    <w:nsid w:val="2C27173B"/>
    <w:multiLevelType w:val="hybridMultilevel"/>
    <w:lvl w:ilvl="0">
      <w:lvlJc w:val="left"/>
      <w:lvlText w:val="(%1)"/>
      <w:numFmt w:val="lowerLetter"/>
      <w:start w:val="2"/>
    </w:lvl>
  </w:abstractNum>
  <w:abstractNum w:abstractNumId="97">
    <w:nsid w:val="4C9B0904"/>
    <w:multiLevelType w:val="hybridMultilevel"/>
    <w:lvl w:ilvl="0">
      <w:lvlJc w:val="left"/>
      <w:lvlText w:val="(%1)"/>
      <w:numFmt w:val="lowerLetter"/>
      <w:start w:val="1"/>
    </w:lvl>
  </w:abstractNum>
  <w:abstractNum w:abstractNumId="98">
    <w:nsid w:val="6AA7B75C"/>
    <w:multiLevelType w:val="hybridMultilevel"/>
    <w:lvl w:ilvl="0">
      <w:lvlJc w:val="left"/>
      <w:lvlText w:val="%1"/>
      <w:numFmt w:val="lowerLetter"/>
      <w:start w:val="1"/>
    </w:lvl>
    <w:lvl w:ilvl="1">
      <w:lvlJc w:val="left"/>
      <w:lvlText w:val="(%2)"/>
      <w:numFmt w:val="lowerLetter"/>
      <w:start w:val="1"/>
    </w:lvl>
  </w:abstractNum>
  <w:abstractNum w:abstractNumId="99">
    <w:nsid w:val="1DF029D3"/>
    <w:multiLevelType w:val="hybridMultilevel"/>
    <w:lvl w:ilvl="0">
      <w:lvlJc w:val="left"/>
      <w:lvlText w:val="(%1)"/>
      <w:numFmt w:val="lowerLetter"/>
      <w:start w:val="9"/>
    </w:lvl>
    <w:lvl w:ilvl="1">
      <w:lvlJc w:val="left"/>
      <w:lvlText w:val="%2"/>
      <w:numFmt w:val="lowerLetter"/>
      <w:start w:val="1"/>
    </w:lvl>
  </w:abstractNum>
  <w:abstractNum w:abstractNumId="100">
    <w:nsid w:val="5675FF36"/>
    <w:multiLevelType w:val="hybridMultilevel"/>
    <w:lvl w:ilvl="0">
      <w:lvlJc w:val="left"/>
      <w:lvlText w:val="(%1)"/>
      <w:numFmt w:val="lowerLetter"/>
      <w:start w:val="1"/>
    </w:lvl>
  </w:abstractNum>
  <w:abstractNum w:abstractNumId="101">
    <w:nsid w:val="3DD15094"/>
    <w:multiLevelType w:val="hybridMultilevel"/>
    <w:lvl w:ilvl="0">
      <w:lvlJc w:val="left"/>
      <w:lvlText w:val="(%1)"/>
      <w:numFmt w:val="lowerLetter"/>
      <w:start w:val="1"/>
    </w:lvl>
  </w:abstractNum>
  <w:abstractNum w:abstractNumId="102">
    <w:nsid w:val="3DB012B3"/>
    <w:multiLevelType w:val="hybridMultilevel"/>
    <w:lvl w:ilvl="0">
      <w:lvlJc w:val="left"/>
      <w:lvlText w:val="(%1)"/>
      <w:numFmt w:val="lowerLetter"/>
      <w:start w:val="3"/>
    </w:lvl>
  </w:abstractNum>
  <w:abstractNum w:abstractNumId="103">
    <w:nsid w:val="2708C9AF"/>
    <w:multiLevelType w:val="hybridMultilevel"/>
    <w:lvl w:ilvl="0">
      <w:lvlJc w:val="left"/>
      <w:lvlText w:val="(%1)"/>
      <w:numFmt w:val="lowerLetter"/>
      <w:start w:val="23"/>
    </w:lvl>
    <w:lvl w:ilvl="1">
      <w:lvlJc w:val="left"/>
      <w:lvlText w:val="(%2)"/>
      <w:numFmt w:val="lowerLetter"/>
      <w:start w:val="1"/>
    </w:lvl>
  </w:abstractNum>
  <w:abstractNum w:abstractNumId="104">
    <w:nsid w:val="5B25ACE2"/>
    <w:multiLevelType w:val="hybridMultilevel"/>
    <w:lvl w:ilvl="0">
      <w:lvlJc w:val="left"/>
      <w:lvlText w:val="(%1)"/>
      <w:numFmt w:val="lowerLetter"/>
      <w:start w:val="3"/>
    </w:lvl>
  </w:abstractNum>
  <w:abstractNum w:abstractNumId="105">
    <w:nsid w:val="175DFCF0"/>
    <w:multiLevelType w:val="hybridMultilevel"/>
    <w:lvl w:ilvl="0">
      <w:lvlJc w:val="left"/>
      <w:lvlText w:val="[**]"/>
      <w:numFmt w:val="bullet"/>
      <w:start w:val="1"/>
    </w:lvl>
  </w:abstractNum>
  <w:abstractNum w:abstractNumId="106">
    <w:nsid w:val="4F97E3E4"/>
    <w:multiLevelType w:val="hybridMultilevel"/>
    <w:lvl w:ilvl="0">
      <w:lvlJc w:val="left"/>
      <w:lvlText w:val="(%1)"/>
      <w:numFmt w:val="lowerLetter"/>
      <w:start w:val="1"/>
    </w:lvl>
  </w:abstractNum>
  <w:abstractNum w:abstractNumId="107">
    <w:nsid w:val="53B0A9E"/>
    <w:multiLevelType w:val="hybridMultilevel"/>
    <w:lvl w:ilvl="0">
      <w:lvlJc w:val="left"/>
      <w:lvlText w:val="(%1)"/>
      <w:numFmt w:val="lowerLetter"/>
      <w:start w:val="1"/>
    </w:lvl>
  </w:abstractNum>
  <w:abstractNum w:abstractNumId="108">
    <w:nsid w:val="34FD6B4F"/>
    <w:multiLevelType w:val="hybridMultilevel"/>
    <w:lvl w:ilvl="0">
      <w:lvlJc w:val="left"/>
      <w:lvlText w:val="(%1)"/>
      <w:numFmt w:val="lowerLetter"/>
      <w:start w:val="5"/>
    </w:lvl>
  </w:abstractNum>
  <w:abstractNum w:abstractNumId="109">
    <w:nsid w:val="5915FF32"/>
    <w:multiLevelType w:val="hybridMultilevel"/>
    <w:lvl w:ilvl="0">
      <w:lvlJc w:val="left"/>
      <w:lvlText w:val="(%1)"/>
      <w:numFmt w:val="lowerLetter"/>
      <w:start w:val="1"/>
    </w:lvl>
  </w:abstractNum>
  <w:abstractNum w:abstractNumId="110">
    <w:nsid w:val="56438D15"/>
    <w:multiLevelType w:val="hybridMultilevel"/>
    <w:lvl w:ilvl="0">
      <w:lvlJc w:val="left"/>
      <w:lvlText w:val="(%1)"/>
      <w:numFmt w:val="lowerLetter"/>
      <w:start w:val="1"/>
    </w:lvl>
  </w:abstractNum>
  <w:abstractNum w:abstractNumId="111">
    <w:nsid w:val="519E3149"/>
    <w:multiLevelType w:val="hybridMultilevel"/>
    <w:lvl w:ilvl="0">
      <w:lvlJc w:val="left"/>
      <w:lvlText w:val="[**]"/>
      <w:numFmt w:val="bullet"/>
      <w:start w:val="1"/>
    </w:lvl>
    <w:lvl w:ilvl="1">
      <w:lvlJc w:val="left"/>
      <w:lvlText w:val="(%2)"/>
      <w:numFmt w:val="lowerLetter"/>
      <w:start w:val="2"/>
    </w:lvl>
  </w:abstractNum>
  <w:abstractNum w:abstractNumId="112">
    <w:nsid w:val="2C6E4AFD"/>
    <w:multiLevelType w:val="hybridMultilevel"/>
    <w:lvl w:ilvl="0">
      <w:lvlJc w:val="left"/>
      <w:lvlText w:val="[**]"/>
      <w:numFmt w:val="bullet"/>
      <w:start w:val="1"/>
    </w:lvl>
    <w:lvl w:ilvl="1">
      <w:lvlJc w:val="left"/>
      <w:lvlText w:val="(%2)"/>
      <w:numFmt w:val="lowerLetter"/>
      <w:start w:val="3"/>
    </w:lvl>
  </w:abstractNum>
  <w:abstractNum w:abstractNumId="113">
    <w:nsid w:val="17A1B582"/>
    <w:multiLevelType w:val="hybridMultilevel"/>
    <w:lvl w:ilvl="0">
      <w:lvlJc w:val="left"/>
      <w:lvlText w:val="(%1)"/>
      <w:numFmt w:val="lowerLetter"/>
      <w:start w:val="6"/>
    </w:lvl>
  </w:abstractNum>
  <w:abstractNum w:abstractNumId="114">
    <w:nsid w:val="4DF72E4E"/>
    <w:multiLevelType w:val="hybridMultilevel"/>
    <w:lvl w:ilvl="0">
      <w:lvlJc w:val="left"/>
      <w:lvlText w:val="(%1)"/>
      <w:numFmt w:val="lowerLetter"/>
      <w:start w:val="1"/>
    </w:lvl>
  </w:abstractNum>
  <w:abstractNum w:abstractNumId="115">
    <w:nsid w:val="5046B5A9"/>
    <w:multiLevelType w:val="hybridMultilevel"/>
    <w:lvl w:ilvl="0">
      <w:lvlJc w:val="left"/>
      <w:lvlText w:val="(%1)"/>
      <w:numFmt w:val="lowerLetter"/>
      <w:start w:val="3"/>
    </w:lvl>
  </w:abstractNum>
  <w:abstractNum w:abstractNumId="116">
    <w:nsid w:val="5D888A08"/>
    <w:multiLevelType w:val="hybridMultilevel"/>
    <w:lvl w:ilvl="0">
      <w:lvlJc w:val="left"/>
      <w:lvlText w:val="(%1)"/>
      <w:numFmt w:val="lowerLetter"/>
      <w:start w:val="3"/>
    </w:lvl>
  </w:abstractNum>
  <w:abstractNum w:abstractNumId="117">
    <w:nsid w:val="2A082C70"/>
    <w:multiLevelType w:val="hybridMultilevel"/>
    <w:lvl w:ilvl="0">
      <w:lvlJc w:val="left"/>
      <w:lvlText w:val="(%1)"/>
      <w:numFmt w:val="lowerRoman"/>
      <w:start w:val="1"/>
    </w:lvl>
  </w:abstractNum>
  <w:abstractNum w:abstractNumId="118">
    <w:nsid w:val="5EC6AFD4"/>
    <w:multiLevelType w:val="hybridMultilevel"/>
    <w:lvl w:ilvl="0">
      <w:lvlJc w:val="left"/>
      <w:lvlText w:val="(%1)"/>
      <w:numFmt w:val="lowerLetter"/>
      <w:start w:val="1"/>
    </w:lvl>
  </w:abstractNum>
  <w:abstractNum w:abstractNumId="119">
    <w:nsid w:val="19E21BB2"/>
    <w:multiLevelType w:val="hybridMultilevel"/>
    <w:lvl w:ilvl="0">
      <w:lvlJc w:val="left"/>
      <w:lvlText w:val="(%1)"/>
      <w:numFmt w:val="lowerLetter"/>
      <w:start w:val="1"/>
    </w:lvl>
  </w:abstractNum>
  <w:abstractNum w:abstractNumId="120">
    <w:nsid w:val="75E0858A"/>
    <w:multiLevelType w:val="hybridMultilevel"/>
    <w:lvl w:ilvl="0">
      <w:lvlJc w:val="left"/>
      <w:lvlText w:val="(%1)"/>
      <w:numFmt w:val="lowerLetter"/>
      <w:start w:val="1"/>
    </w:lvl>
  </w:abstractNum>
  <w:abstractNum w:abstractNumId="121">
    <w:nsid w:val="57A61A29"/>
    <w:multiLevelType w:val="hybridMultilevel"/>
    <w:lvl w:ilvl="0">
      <w:lvlJc w:val="left"/>
      <w:lvlText w:val="(%1)"/>
      <w:numFmt w:val="lowerLetter"/>
      <w:start w:val="2"/>
    </w:lvl>
  </w:abstractNum>
  <w:abstractNum w:abstractNumId="122">
    <w:nsid w:val="5399C654"/>
    <w:multiLevelType w:val="hybridMultilevel"/>
    <w:lvl w:ilvl="0">
      <w:lvlJc w:val="left"/>
      <w:lvlText w:val="(%1)"/>
      <w:numFmt w:val="lowerLetter"/>
      <w:start w:val="4"/>
    </w:lvl>
  </w:abstractNum>
  <w:abstractNum w:abstractNumId="123">
    <w:nsid w:val="20EE1348"/>
    <w:multiLevelType w:val="hybridMultilevel"/>
    <w:lvl w:ilvl="0">
      <w:lvlJc w:val="left"/>
      <w:lvlText w:val="(%1)"/>
      <w:numFmt w:val="lowerLetter"/>
      <w:start w:val="1"/>
    </w:lvl>
  </w:abstractNum>
  <w:abstractNum w:abstractNumId="124">
    <w:nsid w:val="4427069A"/>
    <w:multiLevelType w:val="hybridMultilevel"/>
    <w:lvl w:ilvl="0">
      <w:lvlJc w:val="left"/>
      <w:lvlText w:val="(%1)"/>
      <w:numFmt w:val="lowerRoman"/>
      <w:start w:val="1"/>
    </w:lvl>
  </w:abstractNum>
  <w:abstractNum w:abstractNumId="125">
    <w:nsid w:val="B37E80A"/>
    <w:multiLevelType w:val="hybridMultilevel"/>
    <w:lvl w:ilvl="0">
      <w:lvlJc w:val="left"/>
      <w:lvlText w:val="(%1)"/>
      <w:numFmt w:val="lowerLetter"/>
      <w:start w:val="3"/>
    </w:lvl>
  </w:abstractNum>
  <w:abstractNum w:abstractNumId="126">
    <w:nsid w:val="2157F6BC"/>
    <w:multiLevelType w:val="hybridMultilevel"/>
    <w:lvl w:ilvl="0">
      <w:lvlJc w:val="left"/>
      <w:lvlText w:val="(%1)"/>
      <w:numFmt w:val="lowerRoman"/>
      <w:start w:val="1"/>
    </w:lvl>
  </w:abstractNum>
  <w:abstractNum w:abstractNumId="127">
    <w:nsid w:val="704E1DD5"/>
    <w:multiLevelType w:val="hybridMultilevel"/>
    <w:lvl w:ilvl="0">
      <w:lvlJc w:val="left"/>
      <w:lvlText w:val="(%1)"/>
      <w:numFmt w:val="lowerRoman"/>
      <w:start w:val="5"/>
    </w:lvl>
  </w:abstractNum>
  <w:abstractNum w:abstractNumId="128">
    <w:nsid w:val="57D2F10E"/>
    <w:multiLevelType w:val="hybridMultilevel"/>
    <w:lvl w:ilvl="0">
      <w:lvlJc w:val="left"/>
      <w:lvlText w:val="(%1)"/>
      <w:numFmt w:val="lowerRoman"/>
      <w:start w:val="10"/>
    </w:lvl>
  </w:abstractNum>
  <w:abstractNum w:abstractNumId="129">
    <w:nsid w:val="BFFAE18"/>
    <w:multiLevelType w:val="hybridMultilevel"/>
    <w:lvl w:ilvl="0">
      <w:lvlJc w:val="left"/>
      <w:lvlText w:val="(%1)"/>
      <w:numFmt w:val="lowerRoman"/>
      <w:start w:val="1"/>
    </w:lvl>
  </w:abstractNum>
  <w:abstractNum w:abstractNumId="130">
    <w:nsid w:val="E3E47A8"/>
    <w:multiLevelType w:val="hybridMultilevel"/>
    <w:lvl w:ilvl="0">
      <w:lvlJc w:val="left"/>
      <w:lvlText w:val="%1"/>
      <w:numFmt w:val="upperLetter"/>
      <w:start w:val="1"/>
    </w:lvl>
    <w:lvl w:ilvl="1">
      <w:lvlJc w:val="left"/>
      <w:lvlText w:val="(%2)"/>
      <w:numFmt w:val="lowerRoman"/>
      <w:start w:val="5"/>
    </w:lvl>
  </w:abstractNum>
  <w:abstractNum w:abstractNumId="131">
    <w:nsid w:val="2E48F044"/>
    <w:multiLevelType w:val="hybridMultilevel"/>
    <w:lvl w:ilvl="0">
      <w:lvlJc w:val="left"/>
      <w:lvlText w:val="(%1)"/>
      <w:numFmt w:val="upperLetter"/>
      <w:start w:val="3"/>
    </w:lvl>
    <w:lvl w:ilvl="1">
      <w:lvlJc w:val="left"/>
      <w:lvlText w:val="%2"/>
      <w:numFmt w:val="lowerRoman"/>
      <w:start w:val="1"/>
    </w:lvl>
  </w:abstractNum>
  <w:abstractNum w:abstractNumId="132">
    <w:nsid w:val="49D0FEAC"/>
    <w:multiLevelType w:val="hybridMultilevel"/>
    <w:lvl w:ilvl="0">
      <w:lvlJc w:val="left"/>
      <w:lvlText w:val="(%1)"/>
      <w:numFmt w:val="lowerRoman"/>
      <w:start w:val="1"/>
    </w:lvl>
  </w:abstractNum>
  <w:abstractNum w:abstractNumId="133">
    <w:nsid w:val="4BEE5A5B"/>
    <w:multiLevelType w:val="hybridMultilevel"/>
    <w:lvl w:ilvl="0">
      <w:lvlJc w:val="left"/>
      <w:lvlText w:val="(%1)"/>
      <w:numFmt w:val="lowerRoman"/>
      <w:start w:val="5"/>
    </w:lvl>
  </w:abstractNum>
  <w:abstractNum w:abstractNumId="134">
    <w:nsid w:val="5551B9F3"/>
    <w:multiLevelType w:val="hybridMultilevel"/>
    <w:lvl w:ilvl="0">
      <w:lvlJc w:val="left"/>
      <w:lvlText w:val="(%1)"/>
      <w:numFmt w:val="lowerRoman"/>
      <w:start w:val="10"/>
    </w:lvl>
  </w:abstractNum>
  <w:abstractNum w:abstractNumId="135">
    <w:nsid w:val="24F6AB8E"/>
    <w:multiLevelType w:val="hybridMultilevel"/>
    <w:lvl w:ilvl="0">
      <w:lvlJc w:val="left"/>
      <w:lvlText w:val="(%1)"/>
      <w:numFmt w:val="decimal"/>
      <w:start w:val="1"/>
    </w:lvl>
  </w:abstractNum>
  <w:abstractNum w:abstractNumId="136">
    <w:nsid w:val="634C574C"/>
    <w:multiLevelType w:val="hybridMultilevel"/>
    <w:lvl w:ilvl="0">
      <w:lvlJc w:val="left"/>
      <w:lvlText w:val="%1."/>
      <w:numFmt w:val="decimal"/>
      <w:start w:val="1"/>
    </w:lvl>
    <w:lvl w:ilvl="1">
      <w:lvlJc w:val="left"/>
      <w:lvlText w:val="(%2)"/>
      <w:numFmt w:val="lowerLetter"/>
      <w:start w:val="1"/>
    </w:lvl>
  </w:abstractNum>
  <w:abstractNum w:abstractNumId="137">
    <w:nsid w:val="24E99DD7"/>
    <w:multiLevelType w:val="hybridMultilevel"/>
    <w:lvl w:ilvl="0">
      <w:lvlJc w:val="left"/>
      <w:lvlText w:val="%1."/>
      <w:numFmt w:val="decimal"/>
      <w:start w:val="1"/>
    </w:lvl>
    <w:lvl w:ilvl="1">
      <w:lvlJc w:val="left"/>
      <w:lvlText w:val="(%2)"/>
      <w:numFmt w:val="lowerLetter"/>
      <w:start w:val="1"/>
    </w:lvl>
  </w:abstractNum>
  <w:abstractNum w:abstractNumId="138">
    <w:nsid w:val="2A31B62D"/>
    <w:multiLevelType w:val="hybridMultilevel"/>
    <w:lvl w:ilvl="0">
      <w:lvlJc w:val="left"/>
      <w:lvlText w:val="(%1)"/>
      <w:numFmt w:val="decimal"/>
      <w:start w:val="1"/>
    </w:lvl>
  </w:abstractNum>
  <w:abstractNum w:abstractNumId="139">
    <w:nsid w:val="1849C2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7" Type="http://schemas.openxmlformats.org/officeDocument/2006/relationships/image" Target="media/image129.png"/><Relationship Id="rId178" Type="http://schemas.openxmlformats.org/officeDocument/2006/relationships/image" Target="media/image130.png"/><Relationship Id="rId179" Type="http://schemas.openxmlformats.org/officeDocument/2006/relationships/image" Target="media/image131.png"/><Relationship Id="rId180"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png"/><Relationship Id="rId183" Type="http://schemas.openxmlformats.org/officeDocument/2006/relationships/image" Target="media/image135.png"/><Relationship Id="rId184" Type="http://schemas.openxmlformats.org/officeDocument/2006/relationships/image" Target="media/image136.png"/><Relationship Id="rId185" Type="http://schemas.openxmlformats.org/officeDocument/2006/relationships/image" Target="media/image137.png"/><Relationship Id="rId186" Type="http://schemas.openxmlformats.org/officeDocument/2006/relationships/image" Target="media/image138.png"/><Relationship Id="rId187" Type="http://schemas.openxmlformats.org/officeDocument/2006/relationships/image" Target="media/image139.png"/><Relationship Id="rId188" Type="http://schemas.openxmlformats.org/officeDocument/2006/relationships/image" Target="media/image140.png"/><Relationship Id="rId189" Type="http://schemas.openxmlformats.org/officeDocument/2006/relationships/image" Target="media/image141.png"/><Relationship Id="rId190" Type="http://schemas.openxmlformats.org/officeDocument/2006/relationships/image" Target="media/image142.png"/><Relationship Id="rId191" Type="http://schemas.openxmlformats.org/officeDocument/2006/relationships/image" Target="media/image143.png"/><Relationship Id="rId192" Type="http://schemas.openxmlformats.org/officeDocument/2006/relationships/image" Target="media/image144.png"/><Relationship Id="rId193" Type="http://schemas.openxmlformats.org/officeDocument/2006/relationships/image" Target="media/image145.png"/><Relationship Id="rId194" Type="http://schemas.openxmlformats.org/officeDocument/2006/relationships/image" Target="media/image146.png"/><Relationship Id="rId195" Type="http://schemas.openxmlformats.org/officeDocument/2006/relationships/image" Target="media/image147.png"/><Relationship Id="rId196" Type="http://schemas.openxmlformats.org/officeDocument/2006/relationships/image" Target="media/image148.png"/><Relationship Id="rId197" Type="http://schemas.openxmlformats.org/officeDocument/2006/relationships/image" Target="media/image149.png"/><Relationship Id="rId198" Type="http://schemas.openxmlformats.org/officeDocument/2006/relationships/image" Target="media/image150.png"/><Relationship Id="rId199" Type="http://schemas.openxmlformats.org/officeDocument/2006/relationships/image" Target="media/image151.png"/><Relationship Id="rId200" Type="http://schemas.openxmlformats.org/officeDocument/2006/relationships/image" Target="media/image152.png"/><Relationship Id="rId201" Type="http://schemas.openxmlformats.org/officeDocument/2006/relationships/image" Target="media/image153.png"/><Relationship Id="rId202" Type="http://schemas.openxmlformats.org/officeDocument/2006/relationships/image" Target="media/image154.png"/><Relationship Id="rId203" Type="http://schemas.openxmlformats.org/officeDocument/2006/relationships/image" Target="media/image155.png"/><Relationship Id="rId204" Type="http://schemas.openxmlformats.org/officeDocument/2006/relationships/image" Target="media/image156.png"/><Relationship Id="rId205" Type="http://schemas.openxmlformats.org/officeDocument/2006/relationships/image" Target="media/image157.png"/><Relationship Id="rId206" Type="http://schemas.openxmlformats.org/officeDocument/2006/relationships/image" Target="media/image158.png"/><Relationship Id="rId207" Type="http://schemas.openxmlformats.org/officeDocument/2006/relationships/image" Target="media/image159.png"/><Relationship Id="rId208" Type="http://schemas.openxmlformats.org/officeDocument/2006/relationships/image" Target="media/image160.png"/><Relationship Id="rId209" Type="http://schemas.openxmlformats.org/officeDocument/2006/relationships/image" Target="media/image161.png"/><Relationship Id="rId210" Type="http://schemas.openxmlformats.org/officeDocument/2006/relationships/image" Target="media/image162.png"/><Relationship Id="rId211" Type="http://schemas.openxmlformats.org/officeDocument/2006/relationships/image" Target="media/image163.png"/><Relationship Id="rId212" Type="http://schemas.openxmlformats.org/officeDocument/2006/relationships/image" Target="media/image164.png"/><Relationship Id="rId213" Type="http://schemas.openxmlformats.org/officeDocument/2006/relationships/image" Target="media/image165.png"/><Relationship Id="rId214" Type="http://schemas.openxmlformats.org/officeDocument/2006/relationships/image" Target="media/image166.png"/><Relationship Id="rId215" Type="http://schemas.openxmlformats.org/officeDocument/2006/relationships/image" Target="media/image167.png"/><Relationship Id="rId216" Type="http://schemas.openxmlformats.org/officeDocument/2006/relationships/image" Target="media/image168.png"/><Relationship Id="rId217" Type="http://schemas.openxmlformats.org/officeDocument/2006/relationships/image" Target="media/image169.png"/><Relationship Id="rId218" Type="http://schemas.openxmlformats.org/officeDocument/2006/relationships/image" Target="media/image170.png"/><Relationship Id="rId219" Type="http://schemas.openxmlformats.org/officeDocument/2006/relationships/image" Target="media/image171.png"/><Relationship Id="rId220" Type="http://schemas.openxmlformats.org/officeDocument/2006/relationships/image" Target="media/image172.png"/><Relationship Id="rId221" Type="http://schemas.openxmlformats.org/officeDocument/2006/relationships/image" Target="media/image173.png"/><Relationship Id="rId222" Type="http://schemas.openxmlformats.org/officeDocument/2006/relationships/image" Target="media/image174.png"/><Relationship Id="rId223" Type="http://schemas.openxmlformats.org/officeDocument/2006/relationships/image" Target="media/image175.png"/><Relationship Id="rId224" Type="http://schemas.openxmlformats.org/officeDocument/2006/relationships/image" Target="media/image176.png"/><Relationship Id="rId225" Type="http://schemas.openxmlformats.org/officeDocument/2006/relationships/image" Target="media/image177.png"/><Relationship Id="rId226" Type="http://schemas.openxmlformats.org/officeDocument/2006/relationships/image" Target="media/image178.png"/><Relationship Id="rId227" Type="http://schemas.openxmlformats.org/officeDocument/2006/relationships/image" Target="media/image179.png"/><Relationship Id="rId228" Type="http://schemas.openxmlformats.org/officeDocument/2006/relationships/image" Target="media/image180.png"/><Relationship Id="rId229" Type="http://schemas.openxmlformats.org/officeDocument/2006/relationships/image" Target="media/image181.png"/><Relationship Id="rId230" Type="http://schemas.openxmlformats.org/officeDocument/2006/relationships/image" Target="media/image182.png"/><Relationship Id="rId231" Type="http://schemas.openxmlformats.org/officeDocument/2006/relationships/image" Target="media/image183.png"/><Relationship Id="rId232" Type="http://schemas.openxmlformats.org/officeDocument/2006/relationships/image" Target="media/image184.png"/><Relationship Id="rId233" Type="http://schemas.openxmlformats.org/officeDocument/2006/relationships/image" Target="media/image185.png"/><Relationship Id="rId234" Type="http://schemas.openxmlformats.org/officeDocument/2006/relationships/image" Target="media/image186.png"/><Relationship Id="rId235" Type="http://schemas.openxmlformats.org/officeDocument/2006/relationships/image" Target="media/image187.png"/><Relationship Id="rId236" Type="http://schemas.openxmlformats.org/officeDocument/2006/relationships/image" Target="media/image188.png"/><Relationship Id="rId237" Type="http://schemas.openxmlformats.org/officeDocument/2006/relationships/image" Target="media/image189.png"/><Relationship Id="rId238" Type="http://schemas.openxmlformats.org/officeDocument/2006/relationships/image" Target="media/image190.png"/><Relationship Id="rId239" Type="http://schemas.openxmlformats.org/officeDocument/2006/relationships/image" Target="media/image191.png"/><Relationship Id="rId240" Type="http://schemas.openxmlformats.org/officeDocument/2006/relationships/image" Target="media/image192.png"/><Relationship Id="rId241" Type="http://schemas.openxmlformats.org/officeDocument/2006/relationships/image" Target="media/image193.png"/><Relationship Id="rId242" Type="http://schemas.openxmlformats.org/officeDocument/2006/relationships/image" Target="media/image194.png"/><Relationship Id="rId243" Type="http://schemas.openxmlformats.org/officeDocument/2006/relationships/image" Target="media/image195.png"/><Relationship Id="rId244" Type="http://schemas.openxmlformats.org/officeDocument/2006/relationships/image" Target="media/image196.png"/><Relationship Id="rId245" Type="http://schemas.openxmlformats.org/officeDocument/2006/relationships/image" Target="media/image197.png"/><Relationship Id="rId246" Type="http://schemas.openxmlformats.org/officeDocument/2006/relationships/image" Target="media/image198.png"/><Relationship Id="rId247" Type="http://schemas.openxmlformats.org/officeDocument/2006/relationships/image" Target="media/image199.png"/><Relationship Id="rId248" Type="http://schemas.openxmlformats.org/officeDocument/2006/relationships/image" Target="media/image200.png"/><Relationship Id="rId249" Type="http://schemas.openxmlformats.org/officeDocument/2006/relationships/image" Target="media/image201.png"/><Relationship Id="rId250" Type="http://schemas.openxmlformats.org/officeDocument/2006/relationships/image" Target="media/image202.png"/><Relationship Id="rId251" Type="http://schemas.openxmlformats.org/officeDocument/2006/relationships/image" Target="media/image203.png"/><Relationship Id="rId252" Type="http://schemas.openxmlformats.org/officeDocument/2006/relationships/image" Target="media/image204.png"/><Relationship Id="rId253" Type="http://schemas.openxmlformats.org/officeDocument/2006/relationships/image" Target="media/image205.png"/><Relationship Id="rId254" Type="http://schemas.openxmlformats.org/officeDocument/2006/relationships/image" Target="media/image206.png"/><Relationship Id="rId255" Type="http://schemas.openxmlformats.org/officeDocument/2006/relationships/image" Target="media/image207.png"/><Relationship Id="rId256" Type="http://schemas.openxmlformats.org/officeDocument/2006/relationships/image" Target="media/image208.png"/><Relationship Id="rId257" Type="http://schemas.openxmlformats.org/officeDocument/2006/relationships/image" Target="media/image209.png"/><Relationship Id="rId258" Type="http://schemas.openxmlformats.org/officeDocument/2006/relationships/image" Target="media/image210.png"/><Relationship Id="rId259" Type="http://schemas.openxmlformats.org/officeDocument/2006/relationships/image" Target="media/image211.png"/><Relationship Id="rId260" Type="http://schemas.openxmlformats.org/officeDocument/2006/relationships/image" Target="media/image212.png"/><Relationship Id="rId261" Type="http://schemas.openxmlformats.org/officeDocument/2006/relationships/image" Target="media/image213.png"/><Relationship Id="rId262" Type="http://schemas.openxmlformats.org/officeDocument/2006/relationships/image" Target="media/image214.png"/><Relationship Id="rId263" Type="http://schemas.openxmlformats.org/officeDocument/2006/relationships/image" Target="media/image215.png"/><Relationship Id="rId264" Type="http://schemas.openxmlformats.org/officeDocument/2006/relationships/image" Target="media/image216.png"/><Relationship Id="rId265" Type="http://schemas.openxmlformats.org/officeDocument/2006/relationships/image" Target="media/image217.png"/><Relationship Id="rId266" Type="http://schemas.openxmlformats.org/officeDocument/2006/relationships/image" Target="media/image218.png"/><Relationship Id="rId267" Type="http://schemas.openxmlformats.org/officeDocument/2006/relationships/image" Target="media/image219.png"/><Relationship Id="rId268" Type="http://schemas.openxmlformats.org/officeDocument/2006/relationships/image" Target="media/image220.png"/><Relationship Id="rId269" Type="http://schemas.openxmlformats.org/officeDocument/2006/relationships/image" Target="media/image221.png"/><Relationship Id="rId270" Type="http://schemas.openxmlformats.org/officeDocument/2006/relationships/image" Target="media/image222.png"/><Relationship Id="rId271" Type="http://schemas.openxmlformats.org/officeDocument/2006/relationships/image" Target="media/image223.png"/><Relationship Id="rId272" Type="http://schemas.openxmlformats.org/officeDocument/2006/relationships/image" Target="media/image224.png"/><Relationship Id="rId273" Type="http://schemas.openxmlformats.org/officeDocument/2006/relationships/image" Target="media/image225.png"/><Relationship Id="rId274" Type="http://schemas.openxmlformats.org/officeDocument/2006/relationships/image" Target="media/image226.png"/><Relationship Id="rId275" Type="http://schemas.openxmlformats.org/officeDocument/2006/relationships/image" Target="media/image227.png"/><Relationship Id="rId276" Type="http://schemas.openxmlformats.org/officeDocument/2006/relationships/image" Target="media/image228.png"/><Relationship Id="rId277" Type="http://schemas.openxmlformats.org/officeDocument/2006/relationships/image" Target="media/image229.png"/><Relationship Id="rId278" Type="http://schemas.openxmlformats.org/officeDocument/2006/relationships/image" Target="media/image230.png"/><Relationship Id="rId279" Type="http://schemas.openxmlformats.org/officeDocument/2006/relationships/image" Target="media/image231.png"/><Relationship Id="rId280" Type="http://schemas.openxmlformats.org/officeDocument/2006/relationships/image" Target="media/image232.png"/><Relationship Id="rId281" Type="http://schemas.openxmlformats.org/officeDocument/2006/relationships/image" Target="media/image233.png"/><Relationship Id="rId282" Type="http://schemas.openxmlformats.org/officeDocument/2006/relationships/image" Target="media/image234.png"/><Relationship Id="rId283" Type="http://schemas.openxmlformats.org/officeDocument/2006/relationships/image" Target="media/image235.png"/><Relationship Id="rId284" Type="http://schemas.openxmlformats.org/officeDocument/2006/relationships/image" Target="media/image236.png"/><Relationship Id="rId285" Type="http://schemas.openxmlformats.org/officeDocument/2006/relationships/image" Target="media/image237.png"/><Relationship Id="rId286" Type="http://schemas.openxmlformats.org/officeDocument/2006/relationships/image" Target="media/image238.png"/><Relationship Id="rId287" Type="http://schemas.openxmlformats.org/officeDocument/2006/relationships/image" Target="media/image239.png"/><Relationship Id="rId288" Type="http://schemas.openxmlformats.org/officeDocument/2006/relationships/image" Target="media/image240.png"/><Relationship Id="rId289" Type="http://schemas.openxmlformats.org/officeDocument/2006/relationships/image" Target="media/image241.png"/><Relationship Id="rId290" Type="http://schemas.openxmlformats.org/officeDocument/2006/relationships/image" Target="media/image242.png"/><Relationship Id="rId291" Type="http://schemas.openxmlformats.org/officeDocument/2006/relationships/image" Target="media/image243.png"/><Relationship Id="rId292" Type="http://schemas.openxmlformats.org/officeDocument/2006/relationships/image" Target="media/image244.png"/><Relationship Id="rId293" Type="http://schemas.openxmlformats.org/officeDocument/2006/relationships/image" Target="media/image245.png"/><Relationship Id="rId294" Type="http://schemas.openxmlformats.org/officeDocument/2006/relationships/image" Target="media/image246.png"/><Relationship Id="rId295" Type="http://schemas.openxmlformats.org/officeDocument/2006/relationships/image" Target="media/image247.png"/><Relationship Id="rId296" Type="http://schemas.openxmlformats.org/officeDocument/2006/relationships/image" Target="media/image248.png"/><Relationship Id="rId297" Type="http://schemas.openxmlformats.org/officeDocument/2006/relationships/image" Target="media/image249.png"/><Relationship Id="rId298" Type="http://schemas.openxmlformats.org/officeDocument/2006/relationships/image" Target="media/image250.png"/><Relationship Id="rId299" Type="http://schemas.openxmlformats.org/officeDocument/2006/relationships/image" Target="media/image251.png"/><Relationship Id="rId300" Type="http://schemas.openxmlformats.org/officeDocument/2006/relationships/image" Target="media/image252.png"/><Relationship Id="rId301" Type="http://schemas.openxmlformats.org/officeDocument/2006/relationships/image" Target="media/image253.png"/><Relationship Id="rId302" Type="http://schemas.openxmlformats.org/officeDocument/2006/relationships/image" Target="media/image254.png"/><Relationship Id="rId303" Type="http://schemas.openxmlformats.org/officeDocument/2006/relationships/image" Target="media/image255.png"/><Relationship Id="rId304" Type="http://schemas.openxmlformats.org/officeDocument/2006/relationships/image" Target="media/image256.png"/><Relationship Id="rId305" Type="http://schemas.openxmlformats.org/officeDocument/2006/relationships/image" Target="media/image257.png"/><Relationship Id="rId306" Type="http://schemas.openxmlformats.org/officeDocument/2006/relationships/image" Target="media/image258.png"/><Relationship Id="rId307" Type="http://schemas.openxmlformats.org/officeDocument/2006/relationships/image" Target="media/image259.png"/><Relationship Id="rId308" Type="http://schemas.openxmlformats.org/officeDocument/2006/relationships/image" Target="media/image260.png"/><Relationship Id="rId309" Type="http://schemas.openxmlformats.org/officeDocument/2006/relationships/image" Target="media/image261.png"/><Relationship Id="rId310" Type="http://schemas.openxmlformats.org/officeDocument/2006/relationships/image" Target="media/image262.png"/><Relationship Id="rId311" Type="http://schemas.openxmlformats.org/officeDocument/2006/relationships/image" Target="media/image263.png"/><Relationship Id="rId312" Type="http://schemas.openxmlformats.org/officeDocument/2006/relationships/image" Target="media/image264.png"/><Relationship Id="rId313" Type="http://schemas.openxmlformats.org/officeDocument/2006/relationships/image" Target="media/image265.png"/><Relationship Id="rId314" Type="http://schemas.openxmlformats.org/officeDocument/2006/relationships/image" Target="media/image266.png"/><Relationship Id="rId315" Type="http://schemas.openxmlformats.org/officeDocument/2006/relationships/image" Target="media/image267.png"/><Relationship Id="rId316" Type="http://schemas.openxmlformats.org/officeDocument/2006/relationships/image" Target="media/image268.png"/><Relationship Id="rId317" Type="http://schemas.openxmlformats.org/officeDocument/2006/relationships/image" Target="media/image269.png"/><Relationship Id="rId318" Type="http://schemas.openxmlformats.org/officeDocument/2006/relationships/image" Target="media/image270.png"/><Relationship Id="rId319" Type="http://schemas.openxmlformats.org/officeDocument/2006/relationships/image" Target="media/image271.png"/><Relationship Id="rId320" Type="http://schemas.openxmlformats.org/officeDocument/2006/relationships/image" Target="media/image272.png"/><Relationship Id="rId321" Type="http://schemas.openxmlformats.org/officeDocument/2006/relationships/image" Target="media/image273.png"/><Relationship Id="rId322" Type="http://schemas.openxmlformats.org/officeDocument/2006/relationships/image" Target="media/image274.png"/><Relationship Id="rId323" Type="http://schemas.openxmlformats.org/officeDocument/2006/relationships/image" Target="media/image275.png"/><Relationship Id="rId324" Type="http://schemas.openxmlformats.org/officeDocument/2006/relationships/image" Target="media/image276.png"/><Relationship Id="rId325" Type="http://schemas.openxmlformats.org/officeDocument/2006/relationships/image" Target="media/image277.png"/><Relationship Id="rId326" Type="http://schemas.openxmlformats.org/officeDocument/2006/relationships/image" Target="media/image278.png"/><Relationship Id="rId327" Type="http://schemas.openxmlformats.org/officeDocument/2006/relationships/image" Target="media/image279.png"/><Relationship Id="rId328" Type="http://schemas.openxmlformats.org/officeDocument/2006/relationships/image" Target="media/image280.png"/><Relationship Id="rId329" Type="http://schemas.openxmlformats.org/officeDocument/2006/relationships/image" Target="media/image281.png"/><Relationship Id="rId330" Type="http://schemas.openxmlformats.org/officeDocument/2006/relationships/image" Target="media/image282.png"/><Relationship Id="rId331" Type="http://schemas.openxmlformats.org/officeDocument/2006/relationships/image" Target="media/image283.png"/><Relationship Id="rId332" Type="http://schemas.openxmlformats.org/officeDocument/2006/relationships/image" Target="media/image284.png"/><Relationship Id="rId333" Type="http://schemas.openxmlformats.org/officeDocument/2006/relationships/image" Target="media/image285.png"/><Relationship Id="rId334" Type="http://schemas.openxmlformats.org/officeDocument/2006/relationships/image" Target="media/image286.png"/><Relationship Id="rId335" Type="http://schemas.openxmlformats.org/officeDocument/2006/relationships/image" Target="media/image287.png"/><Relationship Id="rId336" Type="http://schemas.openxmlformats.org/officeDocument/2006/relationships/image" Target="media/image288.png"/><Relationship Id="rId337" Type="http://schemas.openxmlformats.org/officeDocument/2006/relationships/image" Target="media/image289.png"/><Relationship Id="rId338" Type="http://schemas.openxmlformats.org/officeDocument/2006/relationships/image" Target="media/image290.png"/><Relationship Id="rId339" Type="http://schemas.openxmlformats.org/officeDocument/2006/relationships/image" Target="media/image291.png"/><Relationship Id="rId340" Type="http://schemas.openxmlformats.org/officeDocument/2006/relationships/image" Target="media/image292.png"/><Relationship Id="rId341" Type="http://schemas.openxmlformats.org/officeDocument/2006/relationships/image" Target="media/image293.png"/><Relationship Id="rId342" Type="http://schemas.openxmlformats.org/officeDocument/2006/relationships/image" Target="media/image294.png"/><Relationship Id="rId343" Type="http://schemas.openxmlformats.org/officeDocument/2006/relationships/image" Target="media/image295.png"/><Relationship Id="rId344" Type="http://schemas.openxmlformats.org/officeDocument/2006/relationships/image" Target="media/image296.png"/><Relationship Id="rId345" Type="http://schemas.openxmlformats.org/officeDocument/2006/relationships/image" Target="media/image297.png"/><Relationship Id="rId346" Type="http://schemas.openxmlformats.org/officeDocument/2006/relationships/image" Target="media/image298.png"/><Relationship Id="rId347" Type="http://schemas.openxmlformats.org/officeDocument/2006/relationships/image" Target="media/image299.png"/><Relationship Id="rId348" Type="http://schemas.openxmlformats.org/officeDocument/2006/relationships/image" Target="media/image300.png"/><Relationship Id="rId349" Type="http://schemas.openxmlformats.org/officeDocument/2006/relationships/image" Target="media/image301.png"/><Relationship Id="rId350" Type="http://schemas.openxmlformats.org/officeDocument/2006/relationships/image" Target="media/image302.png"/><Relationship Id="rId351" Type="http://schemas.openxmlformats.org/officeDocument/2006/relationships/image" Target="media/image303.png"/><Relationship Id="rId352" Type="http://schemas.openxmlformats.org/officeDocument/2006/relationships/image" Target="media/image304.png"/><Relationship Id="rId353" Type="http://schemas.openxmlformats.org/officeDocument/2006/relationships/image" Target="media/image305.png"/><Relationship Id="rId354" Type="http://schemas.openxmlformats.org/officeDocument/2006/relationships/image" Target="media/image306.png"/><Relationship Id="rId355" Type="http://schemas.openxmlformats.org/officeDocument/2006/relationships/image" Target="media/image307.png"/><Relationship Id="rId356" Type="http://schemas.openxmlformats.org/officeDocument/2006/relationships/image" Target="media/image308.png"/><Relationship Id="rId357" Type="http://schemas.openxmlformats.org/officeDocument/2006/relationships/image" Target="media/image309.png"/><Relationship Id="rId358" Type="http://schemas.openxmlformats.org/officeDocument/2006/relationships/image" Target="media/image310.png"/><Relationship Id="rId359" Type="http://schemas.openxmlformats.org/officeDocument/2006/relationships/image" Target="media/image311.png"/><Relationship Id="rId360" Type="http://schemas.openxmlformats.org/officeDocument/2006/relationships/image" Target="media/image312.png"/><Relationship Id="rId361" Type="http://schemas.openxmlformats.org/officeDocument/2006/relationships/image" Target="media/image313.png"/><Relationship Id="rId362" Type="http://schemas.openxmlformats.org/officeDocument/2006/relationships/image" Target="media/image314.png"/><Relationship Id="rId363" Type="http://schemas.openxmlformats.org/officeDocument/2006/relationships/image" Target="media/image315.png"/><Relationship Id="rId364" Type="http://schemas.openxmlformats.org/officeDocument/2006/relationships/image" Target="media/image316.png"/><Relationship Id="rId365" Type="http://schemas.openxmlformats.org/officeDocument/2006/relationships/image" Target="media/image317.png"/><Relationship Id="rId366" Type="http://schemas.openxmlformats.org/officeDocument/2006/relationships/image" Target="media/image318.png"/><Relationship Id="rId367" Type="http://schemas.openxmlformats.org/officeDocument/2006/relationships/image" Target="media/image319.png"/><Relationship Id="rId368" Type="http://schemas.openxmlformats.org/officeDocument/2006/relationships/image" Target="media/image320.png"/><Relationship Id="rId369" Type="http://schemas.openxmlformats.org/officeDocument/2006/relationships/image" Target="media/image321.png"/><Relationship Id="rId370" Type="http://schemas.openxmlformats.org/officeDocument/2006/relationships/image" Target="media/image322.png"/><Relationship Id="rId371" Type="http://schemas.openxmlformats.org/officeDocument/2006/relationships/image" Target="media/image323.png"/><Relationship Id="rId372" Type="http://schemas.openxmlformats.org/officeDocument/2006/relationships/image" Target="media/image324.png"/><Relationship Id="rId373" Type="http://schemas.openxmlformats.org/officeDocument/2006/relationships/image" Target="media/image325.png"/><Relationship Id="rId374" Type="http://schemas.openxmlformats.org/officeDocument/2006/relationships/image" Target="media/image326.png"/><Relationship Id="rId375" Type="http://schemas.openxmlformats.org/officeDocument/2006/relationships/image" Target="media/image327.png"/><Relationship Id="rId376" Type="http://schemas.openxmlformats.org/officeDocument/2006/relationships/image" Target="media/image328.png"/><Relationship Id="rId377" Type="http://schemas.openxmlformats.org/officeDocument/2006/relationships/image" Target="media/image329.png"/><Relationship Id="rId378" Type="http://schemas.openxmlformats.org/officeDocument/2006/relationships/image" Target="media/image330.png"/><Relationship Id="rId379" Type="http://schemas.openxmlformats.org/officeDocument/2006/relationships/image" Target="media/image331.png"/><Relationship Id="rId380" Type="http://schemas.openxmlformats.org/officeDocument/2006/relationships/image" Target="media/image332.png"/><Relationship Id="rId381" Type="http://schemas.openxmlformats.org/officeDocument/2006/relationships/image" Target="media/image333.png"/><Relationship Id="rId382" Type="http://schemas.openxmlformats.org/officeDocument/2006/relationships/image" Target="media/image334.png"/><Relationship Id="rId383" Type="http://schemas.openxmlformats.org/officeDocument/2006/relationships/image" Target="media/image335.png"/><Relationship Id="rId384" Type="http://schemas.openxmlformats.org/officeDocument/2006/relationships/image" Target="media/image336.png"/><Relationship Id="rId385" Type="http://schemas.openxmlformats.org/officeDocument/2006/relationships/image" Target="media/image337.png"/><Relationship Id="rId386" Type="http://schemas.openxmlformats.org/officeDocument/2006/relationships/image" Target="media/image338.png"/><Relationship Id="rId387" Type="http://schemas.openxmlformats.org/officeDocument/2006/relationships/image" Target="media/image339.png"/><Relationship Id="rId388" Type="http://schemas.openxmlformats.org/officeDocument/2006/relationships/image" Target="media/image340.png"/><Relationship Id="rId389" Type="http://schemas.openxmlformats.org/officeDocument/2006/relationships/image" Target="media/image341.png"/><Relationship Id="rId390" Type="http://schemas.openxmlformats.org/officeDocument/2006/relationships/image" Target="media/image342.png"/><Relationship Id="rId391" Type="http://schemas.openxmlformats.org/officeDocument/2006/relationships/image" Target="media/image343.png"/><Relationship Id="rId392" Type="http://schemas.openxmlformats.org/officeDocument/2006/relationships/image" Target="media/image344.png"/><Relationship Id="rId393" Type="http://schemas.openxmlformats.org/officeDocument/2006/relationships/image" Target="media/image345.png"/><Relationship Id="rId394" Type="http://schemas.openxmlformats.org/officeDocument/2006/relationships/image" Target="media/image346.png"/><Relationship Id="rId395" Type="http://schemas.openxmlformats.org/officeDocument/2006/relationships/image" Target="media/image347.png"/><Relationship Id="rId396" Type="http://schemas.openxmlformats.org/officeDocument/2006/relationships/image" Target="media/image348.png"/><Relationship Id="rId397" Type="http://schemas.openxmlformats.org/officeDocument/2006/relationships/image" Target="media/image349.png"/><Relationship Id="rId398" Type="http://schemas.openxmlformats.org/officeDocument/2006/relationships/image" Target="media/image350.png"/><Relationship Id="rId399" Type="http://schemas.openxmlformats.org/officeDocument/2006/relationships/image" Target="media/image351.png"/><Relationship Id="rId400" Type="http://schemas.openxmlformats.org/officeDocument/2006/relationships/image" Target="media/image352.png"/><Relationship Id="rId401" Type="http://schemas.openxmlformats.org/officeDocument/2006/relationships/image" Target="media/image353.png"/><Relationship Id="rId402" Type="http://schemas.openxmlformats.org/officeDocument/2006/relationships/image" Target="media/image354.png"/><Relationship Id="rId403" Type="http://schemas.openxmlformats.org/officeDocument/2006/relationships/image" Target="media/image355.png"/><Relationship Id="rId404" Type="http://schemas.openxmlformats.org/officeDocument/2006/relationships/image" Target="media/image356.png"/><Relationship Id="rId405" Type="http://schemas.openxmlformats.org/officeDocument/2006/relationships/image" Target="media/image357.png"/><Relationship Id="rId406" Type="http://schemas.openxmlformats.org/officeDocument/2006/relationships/image" Target="media/image358.png"/><Relationship Id="rId407" Type="http://schemas.openxmlformats.org/officeDocument/2006/relationships/image" Target="media/image359.png"/><Relationship Id="rId408" Type="http://schemas.openxmlformats.org/officeDocument/2006/relationships/image" Target="media/image360.png"/><Relationship Id="rId409" Type="http://schemas.openxmlformats.org/officeDocument/2006/relationships/image" Target="media/image361.png"/><Relationship Id="rId410" Type="http://schemas.openxmlformats.org/officeDocument/2006/relationships/image" Target="media/image362.png"/><Relationship Id="rId411" Type="http://schemas.openxmlformats.org/officeDocument/2006/relationships/image" Target="media/image363.png"/><Relationship Id="rId412" Type="http://schemas.openxmlformats.org/officeDocument/2006/relationships/image" Target="media/image364.png"/><Relationship Id="rId413" Type="http://schemas.openxmlformats.org/officeDocument/2006/relationships/image" Target="media/image365.png"/><Relationship Id="rId414" Type="http://schemas.openxmlformats.org/officeDocument/2006/relationships/image" Target="media/image366.png"/><Relationship Id="rId415" Type="http://schemas.openxmlformats.org/officeDocument/2006/relationships/image" Target="media/image367.png"/><Relationship Id="rId416" Type="http://schemas.openxmlformats.org/officeDocument/2006/relationships/image" Target="media/image368.png"/><Relationship Id="rId417" Type="http://schemas.openxmlformats.org/officeDocument/2006/relationships/image" Target="media/image369.png"/><Relationship Id="rId418" Type="http://schemas.openxmlformats.org/officeDocument/2006/relationships/image" Target="media/image370.png"/><Relationship Id="rId419" Type="http://schemas.openxmlformats.org/officeDocument/2006/relationships/image" Target="media/image371.png"/><Relationship Id="rId420" Type="http://schemas.openxmlformats.org/officeDocument/2006/relationships/image" Target="media/image372.png"/><Relationship Id="rId421" Type="http://schemas.openxmlformats.org/officeDocument/2006/relationships/image" Target="media/image373.png"/><Relationship Id="rId422" Type="http://schemas.openxmlformats.org/officeDocument/2006/relationships/image" Target="media/image374.png"/><Relationship Id="rId423" Type="http://schemas.openxmlformats.org/officeDocument/2006/relationships/image" Target="media/image375.png"/><Relationship Id="rId424" Type="http://schemas.openxmlformats.org/officeDocument/2006/relationships/image" Target="media/image376.png"/><Relationship Id="rId425" Type="http://schemas.openxmlformats.org/officeDocument/2006/relationships/image" Target="media/image377.png"/><Relationship Id="rId426" Type="http://schemas.openxmlformats.org/officeDocument/2006/relationships/image" Target="media/image378.png"/><Relationship Id="rId427" Type="http://schemas.openxmlformats.org/officeDocument/2006/relationships/image" Target="media/image379.png"/><Relationship Id="rId428" Type="http://schemas.openxmlformats.org/officeDocument/2006/relationships/image" Target="media/image380.png"/><Relationship Id="rId429" Type="http://schemas.openxmlformats.org/officeDocument/2006/relationships/image" Target="media/image381.png"/><Relationship Id="rId430" Type="http://schemas.openxmlformats.org/officeDocument/2006/relationships/image" Target="media/image382.png"/><Relationship Id="rId431" Type="http://schemas.openxmlformats.org/officeDocument/2006/relationships/image" Target="media/image383.png"/><Relationship Id="rId432" Type="http://schemas.openxmlformats.org/officeDocument/2006/relationships/image" Target="media/image384.png"/><Relationship Id="rId433" Type="http://schemas.openxmlformats.org/officeDocument/2006/relationships/image" Target="media/image385.png"/><Relationship Id="rId434" Type="http://schemas.openxmlformats.org/officeDocument/2006/relationships/image" Target="media/image386.png"/><Relationship Id="rId435" Type="http://schemas.openxmlformats.org/officeDocument/2006/relationships/image" Target="media/image387.png"/><Relationship Id="rId436" Type="http://schemas.openxmlformats.org/officeDocument/2006/relationships/image" Target="media/image388.png"/><Relationship Id="rId437" Type="http://schemas.openxmlformats.org/officeDocument/2006/relationships/image" Target="media/image389.png"/><Relationship Id="rId438" Type="http://schemas.openxmlformats.org/officeDocument/2006/relationships/image" Target="media/image390.png"/><Relationship Id="rId439" Type="http://schemas.openxmlformats.org/officeDocument/2006/relationships/image" Target="media/image391.png"/><Relationship Id="rId440" Type="http://schemas.openxmlformats.org/officeDocument/2006/relationships/image" Target="media/image392.png"/><Relationship Id="rId441" Type="http://schemas.openxmlformats.org/officeDocument/2006/relationships/image" Target="media/image393.png"/><Relationship Id="rId442" Type="http://schemas.openxmlformats.org/officeDocument/2006/relationships/image" Target="media/image394.png"/><Relationship Id="rId443" Type="http://schemas.openxmlformats.org/officeDocument/2006/relationships/image" Target="media/image395.png"/><Relationship Id="rId444" Type="http://schemas.openxmlformats.org/officeDocument/2006/relationships/image" Target="media/image396.png"/><Relationship Id="rId445" Type="http://schemas.openxmlformats.org/officeDocument/2006/relationships/image" Target="media/image397.png"/><Relationship Id="rId446" Type="http://schemas.openxmlformats.org/officeDocument/2006/relationships/image" Target="media/image398.png"/><Relationship Id="rId447" Type="http://schemas.openxmlformats.org/officeDocument/2006/relationships/image" Target="media/image399.png"/><Relationship Id="rId448" Type="http://schemas.openxmlformats.org/officeDocument/2006/relationships/image" Target="media/image400.png"/><Relationship Id="rId449" Type="http://schemas.openxmlformats.org/officeDocument/2006/relationships/image" Target="media/image401.png"/><Relationship Id="rId450" Type="http://schemas.openxmlformats.org/officeDocument/2006/relationships/image" Target="media/image402.png"/><Relationship Id="rId451" Type="http://schemas.openxmlformats.org/officeDocument/2006/relationships/image" Target="media/image403.png"/><Relationship Id="rId452" Type="http://schemas.openxmlformats.org/officeDocument/2006/relationships/image" Target="media/image404.png"/><Relationship Id="rId453" Type="http://schemas.openxmlformats.org/officeDocument/2006/relationships/image" Target="media/image405.png"/><Relationship Id="rId454" Type="http://schemas.openxmlformats.org/officeDocument/2006/relationships/image" Target="media/image406.png"/><Relationship Id="rId455" Type="http://schemas.openxmlformats.org/officeDocument/2006/relationships/image" Target="media/image407.png"/><Relationship Id="rId456" Type="http://schemas.openxmlformats.org/officeDocument/2006/relationships/image" Target="media/image408.png"/><Relationship Id="rId457" Type="http://schemas.openxmlformats.org/officeDocument/2006/relationships/image" Target="media/image409.png"/><Relationship Id="rId458" Type="http://schemas.openxmlformats.org/officeDocument/2006/relationships/image" Target="media/image410.png"/><Relationship Id="rId459" Type="http://schemas.openxmlformats.org/officeDocument/2006/relationships/image" Target="media/image411.png"/><Relationship Id="rId460" Type="http://schemas.openxmlformats.org/officeDocument/2006/relationships/image" Target="media/image412.png"/><Relationship Id="rId461" Type="http://schemas.openxmlformats.org/officeDocument/2006/relationships/image" Target="media/image413.png"/><Relationship Id="rId462" Type="http://schemas.openxmlformats.org/officeDocument/2006/relationships/image" Target="media/image414.png"/><Relationship Id="rId463" Type="http://schemas.openxmlformats.org/officeDocument/2006/relationships/image" Target="media/image415.png"/><Relationship Id="rId464" Type="http://schemas.openxmlformats.org/officeDocument/2006/relationships/image" Target="media/image416.png"/><Relationship Id="rId465" Type="http://schemas.openxmlformats.org/officeDocument/2006/relationships/image" Target="media/image417.png"/><Relationship Id="rId466" Type="http://schemas.openxmlformats.org/officeDocument/2006/relationships/image" Target="media/image418.png"/><Relationship Id="rId467" Type="http://schemas.openxmlformats.org/officeDocument/2006/relationships/image" Target="media/image419.png"/><Relationship Id="rId468" Type="http://schemas.openxmlformats.org/officeDocument/2006/relationships/image" Target="media/image420.png"/><Relationship Id="rId469" Type="http://schemas.openxmlformats.org/officeDocument/2006/relationships/image" Target="media/image421.png"/><Relationship Id="rId470" Type="http://schemas.openxmlformats.org/officeDocument/2006/relationships/image" Target="media/image422.png"/><Relationship Id="rId471" Type="http://schemas.openxmlformats.org/officeDocument/2006/relationships/image" Target="media/image423.png"/><Relationship Id="rId472" Type="http://schemas.openxmlformats.org/officeDocument/2006/relationships/image" Target="media/image424.png"/><Relationship Id="rId473" Type="http://schemas.openxmlformats.org/officeDocument/2006/relationships/image" Target="media/image425.png"/><Relationship Id="rId132" Type="http://schemas.openxmlformats.org/officeDocument/2006/relationships/hyperlink" Target="https://www.sec.gov/Archives/edgar/data/1661998/000119312523296880/d938280dex21.htm" TargetMode="External"/><Relationship Id="rId133" Type="http://schemas.openxmlformats.org/officeDocument/2006/relationships/hyperlink" Target="https://www.sec.gov/Archives/edgar/data/1661998/000119312518106196/d535307dex31.htm" TargetMode="External"/><Relationship Id="rId134" Type="http://schemas.openxmlformats.org/officeDocument/2006/relationships/hyperlink" Target="https://www.sec.gov/Archives/edgar/data/1661998/000119312524077930/d811189dex31.htm" TargetMode="External"/><Relationship Id="rId135" Type="http://schemas.openxmlformats.org/officeDocument/2006/relationships/hyperlink" Target="https://www.sec.gov/Archives/edgar/data/1661998/000119312524077930/d811189dex32.htm" TargetMode="External"/><Relationship Id="rId136" Type="http://schemas.openxmlformats.org/officeDocument/2006/relationships/hyperlink" Target="https://www.sec.gov/Archives/edgar/data/1661998/000119312525142039/d936533dex31.htm" TargetMode="External"/><Relationship Id="rId137" Type="http://schemas.openxmlformats.org/officeDocument/2006/relationships/hyperlink" Target="https://www.sec.gov/Archives/edgar/data/1661998/000119312520321448/d69248dex31.htm" TargetMode="External"/><Relationship Id="rId138" Type="http://schemas.openxmlformats.org/officeDocument/2006/relationships/hyperlink" Target="https://www.sec.gov/Archives/edgar/data/1661998/000119312526054711/d113308dex41.htm" TargetMode="External"/><Relationship Id="rId139" Type="http://schemas.openxmlformats.org/officeDocument/2006/relationships/hyperlink" Target="https://www.sec.gov/Archives/edgar/data/1661998/000119312524077930/d811189dex101.htm" TargetMode="External"/><Relationship Id="rId140" Type="http://schemas.openxmlformats.org/officeDocument/2006/relationships/hyperlink" Target="https://www.sec.gov/Archives/edgar/data/1661998/000119312524077930/d811189dex102.htm" TargetMode="External"/><Relationship Id="rId141" Type="http://schemas.openxmlformats.org/officeDocument/2006/relationships/hyperlink" Target="https://www.sec.gov/Archives/edgar/data/1661998/000119312526054711/d113308dex101.htm" TargetMode="External"/><Relationship Id="rId142" Type="http://schemas.openxmlformats.org/officeDocument/2006/relationships/hyperlink" Target="https://www.sec.gov/Archives/edgar/data/1661998/000119312524077930/d811189dex104.htm" TargetMode="External"/><Relationship Id="rId143" Type="http://schemas.openxmlformats.org/officeDocument/2006/relationships/hyperlink" Target="https://www.sec.gov/Archives/edgar/data/1661998/000119312524077930/d811189dex106.htm" TargetMode="External"/><Relationship Id="rId144" Type="http://schemas.openxmlformats.org/officeDocument/2006/relationships/hyperlink" Target="https://www.sec.gov/Archives/edgar/data/1661998/000119312524077930/d811189dex107.htm" TargetMode="External"/><Relationship Id="rId145" Type="http://schemas.openxmlformats.org/officeDocument/2006/relationships/hyperlink" Target="https://www.sec.gov/Archives/edgar/data/1661998/000119312524077930/d811189dex108.htm" TargetMode="External"/><Relationship Id="rId146" Type="http://schemas.openxmlformats.org/officeDocument/2006/relationships/hyperlink" Target="https://www.sec.gov/Archives/edgar/data/1661998/000119312524077930/d811189dex109.htm" TargetMode="External"/><Relationship Id="rId147" Type="http://schemas.openxmlformats.org/officeDocument/2006/relationships/hyperlink" Target="https://www.sec.gov/Archives/edgar/data/1661998/000119312524077930/d811189dex1010.htm" TargetMode="External"/><Relationship Id="rId150" Type="http://schemas.openxmlformats.org/officeDocument/2006/relationships/hyperlink" Target="https://www.sec.gov/Archives/edgar/data/1661998/000119312524077930/d811189dex1011.htm" TargetMode="External"/><Relationship Id="rId151" Type="http://schemas.openxmlformats.org/officeDocument/2006/relationships/hyperlink" Target="https://www.sec.gov/Archives/edgar/data/1661998/000119312524077930/d811189dex1012.htm" TargetMode="External"/><Relationship Id="rId152" Type="http://schemas.openxmlformats.org/officeDocument/2006/relationships/hyperlink" Target="https://www.sec.gov/Archives/edgar/data/1661998/000119312524077930/d811189dex1013.htm" TargetMode="External"/><Relationship Id="rId153" Type="http://schemas.openxmlformats.org/officeDocument/2006/relationships/hyperlink" Target="https://www.sec.gov/Archives/edgar/data/1661998/000119312524077930/d811189dex1014.htm" TargetMode="External"/><Relationship Id="rId154" Type="http://schemas.openxmlformats.org/officeDocument/2006/relationships/hyperlink" Target="https://www.sec.gov/Archives/edgar/data/1661998/000119312524077930/d811189dex1015.htm" TargetMode="External"/><Relationship Id="rId155" Type="http://schemas.openxmlformats.org/officeDocument/2006/relationships/hyperlink" Target="https://www.sec.gov/Archives/edgar/data/1661998/000119312524077930/d811189dex1016.htm" TargetMode="External"/><Relationship Id="rId156" Type="http://schemas.openxmlformats.org/officeDocument/2006/relationships/hyperlink" Target="https://www.sec.gov/Archives/edgar/data/1661998/000119312524077930/d811189dex1018.htm" TargetMode="External"/><Relationship Id="rId157" Type="http://schemas.openxmlformats.org/officeDocument/2006/relationships/hyperlink" Target="https://www.sec.gov/Archives/edgar/data/1661998/000119312523296880/d938280dex1036.htm" TargetMode="External"/><Relationship Id="rId158" Type="http://schemas.openxmlformats.org/officeDocument/2006/relationships/hyperlink" Target="https://www.sec.gov/Archives/edgar/data/1661998/000119312523296880/d938280dex1043.htm" TargetMode="External"/><Relationship Id="rId159" Type="http://schemas.openxmlformats.org/officeDocument/2006/relationships/hyperlink" Target="https://www.sec.gov/Archives/edgar/data/1661998/000119312523296880/d938280dex1044.htm" TargetMode="External"/><Relationship Id="rId160" Type="http://schemas.openxmlformats.org/officeDocument/2006/relationships/hyperlink" Target="https://www.sec.gov/Archives/edgar/data/1661998/000119312523296880/d938280dex1045.htm" TargetMode="External"/><Relationship Id="rId161" Type="http://schemas.openxmlformats.org/officeDocument/2006/relationships/hyperlink" Target="https://www.sec.gov/Archives/edgar/data/1661998/000119312523296880/d938280dex1046.htm" TargetMode="External"/><Relationship Id="rId162" Type="http://schemas.openxmlformats.org/officeDocument/2006/relationships/hyperlink" Target="https://www.sec.gov/Archives/edgar/data/1661998/000119312523296880/d938280dex1047.htm" TargetMode="External"/><Relationship Id="rId163" Type="http://schemas.openxmlformats.org/officeDocument/2006/relationships/hyperlink" Target="https://www.sec.gov/Archives/edgar/data/1661998/000119312523296880/d938280dex1050.htm" TargetMode="External"/><Relationship Id="rId164" Type="http://schemas.openxmlformats.org/officeDocument/2006/relationships/hyperlink" Target="https://www.sec.gov/Archives/edgar/data/1661998/000119312523296880/d938280dex1051.htm" TargetMode="External"/><Relationship Id="rId165" Type="http://schemas.openxmlformats.org/officeDocument/2006/relationships/hyperlink" Target="https://www.sec.gov/Archives/edgar/data/1661998/000119312523296880/d938280dex1052.htm" TargetMode="External"/><Relationship Id="rId166" Type="http://schemas.openxmlformats.org/officeDocument/2006/relationships/hyperlink" Target="https://www.sec.gov/Archives/edgar/data/1661998/000119312523296880/d938280dex1053.htm" TargetMode="External"/><Relationship Id="rId167" Type="http://schemas.openxmlformats.org/officeDocument/2006/relationships/hyperlink" Target="https://www.sec.gov/Archives/edgar/data/1661998/000119312523296880/d938280dex1054.htm" TargetMode="External"/><Relationship Id="rId168" Type="http://schemas.openxmlformats.org/officeDocument/2006/relationships/hyperlink" Target="https://www.sec.gov/Archives/edgar/data/1661998/000119312523296880/d938280dex1055.htm" TargetMode="External"/><Relationship Id="rId169" Type="http://schemas.openxmlformats.org/officeDocument/2006/relationships/hyperlink" Target="https://www.sec.gov/Archives/edgar/data/1661998/000119312523296880/d938280dex1056.htm" TargetMode="External"/><Relationship Id="rId170" Type="http://schemas.openxmlformats.org/officeDocument/2006/relationships/hyperlink" Target="https://www.sec.gov/Archives/edgar/data/1661998/000119312523296880/d938280dex1057.htm" TargetMode="External"/><Relationship Id="rId173" Type="http://schemas.openxmlformats.org/officeDocument/2006/relationships/hyperlink" Target="https://www.sec.gov/Archives/edgar/data/1661998/000119312524077930/d811189dex105.htm" TargetMode="External"/><Relationship Id="rId174" Type="http://schemas.openxmlformats.org/officeDocument/2006/relationships/hyperlink" Target="https://www.sec.gov/Archives/edgar/data/1661998/000095017025036823/qttb-ex19_1.htm" TargetMode="External"/><Relationship Id="rId175" Type="http://schemas.openxmlformats.org/officeDocument/2006/relationships/hyperlink" Target="https://www.sec.gov/Archives/edgar/data/1661998/000119312524094768/d800222dex211.htm" TargetMode="External"/><Relationship Id="rId176" Type="http://schemas.openxmlformats.org/officeDocument/2006/relationships/hyperlink" Target="https://www.sec.gov/Archives/edgar/data/1661998/000119312524094768/d800222d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2026-03-10T06:20:55Z</dcterms:created>
  <dcterms:modified xsi:type="dcterms:W3CDTF">2026-03-10T06:20:55Z</dcterms:modified>
</cp:coreProperties>
</file>