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Xu Diyong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Q32 BIO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830 WINTER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Q32 Bio Inc.</w:t>
              </w:r>
            </w:hyperlink>
            <w:r>
              <w:rPr/>
              <w:t xml:space="preserve"> [ </w:t>
            </w:r>
            <w:r>
              <w:rPr>
                <w:rFonts w:ascii="Times;serif" w:hAnsi="Times;serif"/>
                <w:color w:val="0000FF"/>
                <w:sz w:val="24"/>
                <w:shd w:fill="FFFFFF" w:val="clear"/>
              </w:rPr>
              <w:t>QTTB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06/16/2026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4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71"/>
        <w:gridCol w:w="276"/>
        <w:gridCol w:w="906"/>
        <w:gridCol w:w="801"/>
        <w:gridCol w:w="891"/>
        <w:gridCol w:w="861"/>
        <w:gridCol w:w="801"/>
        <w:gridCol w:w="936"/>
        <w:gridCol w:w="831"/>
        <w:gridCol w:w="846"/>
      </w:tblGrid>
      <w:tr>
        <w:trPr>
          <w:tblHeader w:val="true"/>
        </w:trPr>
        <w:tc>
          <w:tcPr>
            <w:tcW w:w="121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12.64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10,826</w:t>
            </w:r>
            <w:r>
              <w:rPr>
                <w:rFonts w:ascii="Times;serif" w:hAnsi="Times;serif"/>
                <w:color w:val="008000"/>
                <w:position w:val="7"/>
                <w:sz w:val="16"/>
                <w:sz w:val="20"/>
                <w:shd w:fill="FFFFFF" w:val="clear"/>
              </w:rPr>
              <w:t>(1)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06/11/2036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10,826</w:t>
            </w: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10,826</w:t>
            </w:r>
            <w:r>
              <w:rPr>
                <w:rFonts w:ascii="Times;serif" w:hAnsi="Times;serif"/>
                <w:color w:val="008000"/>
                <w:position w:val="7"/>
                <w:sz w:val="16"/>
                <w:sz w:val="20"/>
                <w:shd w:fill="FFFFFF" w:val="clear"/>
              </w:rPr>
              <w:t>(1)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(3)</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Form 4 amendment is being filed solely to amend the Form 4 filed on June 16, 2026 to correct the number of options awarded to the Reporting Person on June 12,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underlying this option shall vest and become exercisable in full upon the earlier of (i) June 12, 2027 or (ii) the date of the Issuer's next annual meeting of stockholders, subject to the Reporting Person's continued service on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Pursuant to an agreement with OrbiMed Advisors LLC and OrbiMed Capital GP VII LLC, the Reporting Person is obligated to transfer any securities issued under any such stock options or other awards, or the economic benefit thereof, to OrbiMed Advisors LLC and OrbiMed Capital GP VII LLC, which will in turn ensure that such securities or economic benefits are provided to OrbiMed Private Investments VII, LP.</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Eric Bell,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95088" TargetMode="External"/><Relationship Id="rId5" Type="http://schemas.openxmlformats.org/officeDocument/2006/relationships/hyperlink" Target="http://www.sec.gov/cgi-bin/browse-edgar?action=getcompany&amp;CIK=000166199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715</Words>
  <Characters>3802</Characters>
  <CharactersWithSpaces>4444</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