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Iwicki Mark 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Q32 BIO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830 WINTER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WALTHAM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02451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Q32 Bio Inc.</w:t>
              </w:r>
            </w:hyperlink>
            <w:r>
              <w:rPr/>
              <w:t xml:space="preserve"> [ </w:t>
            </w:r>
            <w:r>
              <w:rPr>
                <w:rFonts w:ascii="Times;serif" w:hAnsi="Times;serif"/>
                <w:color w:val="0000FF"/>
                <w:sz w:val="24"/>
                <w:shd w:fill="FFFFFF" w:val="clear"/>
              </w:rPr>
              <w:t>QTTB</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06/16/2026</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14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71"/>
        <w:gridCol w:w="276"/>
        <w:gridCol w:w="906"/>
        <w:gridCol w:w="801"/>
        <w:gridCol w:w="891"/>
        <w:gridCol w:w="861"/>
        <w:gridCol w:w="801"/>
        <w:gridCol w:w="936"/>
        <w:gridCol w:w="831"/>
        <w:gridCol w:w="846"/>
      </w:tblGrid>
      <w:tr>
        <w:trPr>
          <w:tblHeader w:val="true"/>
        </w:trPr>
        <w:tc>
          <w:tcPr>
            <w:tcW w:w="1214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7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7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12.64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10,826</w:t>
            </w:r>
            <w:r>
              <w:rPr>
                <w:rFonts w:ascii="Times;serif" w:hAnsi="Times;serif"/>
                <w:color w:val="008000"/>
                <w:position w:val="7"/>
                <w:sz w:val="16"/>
                <w:sz w:val="20"/>
                <w:shd w:fill="FFFFFF" w:val="clear"/>
              </w:rPr>
              <w:t>(1)</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06/11/2036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10,826</w:t>
            </w: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10,826</w:t>
            </w:r>
            <w:r>
              <w:rPr>
                <w:rFonts w:ascii="Times;serif" w:hAnsi="Times;serif"/>
                <w:color w:val="008000"/>
                <w:position w:val="7"/>
                <w:sz w:val="16"/>
                <w:sz w:val="20"/>
                <w:shd w:fill="FFFFFF" w:val="clear"/>
              </w:rPr>
              <w:t>(1)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Form 4 amendment is being filed solely to amend the Form 4 filed on June 16, 2026 to correct the number of options awarded to the Reporting Person on June 12,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shares underlying this option shall vest and become exercisable in full upon the earlier of (i) June 12, 2027 or (ii) the date of the Issuer's next annual meeting of stockholders, subject to the Reporting Person's continued service on such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Eric Bell,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15537" TargetMode="External"/><Relationship Id="rId5" Type="http://schemas.openxmlformats.org/officeDocument/2006/relationships/hyperlink" Target="http://www.sec.gov/cgi-bin/browse-edgar?action=getcompany&amp;CIK=000166199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649</Words>
  <Characters>3459</Characters>
  <CharactersWithSpaces>4036</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