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Atlas Venture Opportunity</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6"/>
              </w:rPr>
            </w:pPr>
            <w:hyperlink r:id="rId10">
              <w:r>
                <w:rPr>
                  <w:rFonts w:ascii="Times New Roman" w:cs="Times New Roman" w:eastAsia="Times New Roman" w:hAnsi="Times New Roman"/>
                  <w:sz w:val="24"/>
                  <w:szCs w:val="24"/>
                  <w:color w:val="0000EE"/>
                  <w:w w:val="96"/>
                </w:rPr>
                <w:t>Fund Ill, L.P.</w:t>
              </w:r>
            </w:hyperlink>
          </w:p>
        </w:tc>
        <w:tc>
          <w:tcPr>
            <w:tcW w:w="1280" w:type="dxa"/>
            <w:vAlign w:val="bottom"/>
            <w:tcBorders>
              <w:top w:val="single" w:sz="8" w:color="0000EE"/>
            </w:tcBorders>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05/26/2026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Q32 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QTTB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ATLAS VENTURE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300 TECHNOLOGY SQUARE, 8TH</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20"/>
                <w:szCs w:val="20"/>
                <w:color w:val="0000FF"/>
              </w:rPr>
              <w:t>625,000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Atlas Venture Opportunity Fund Ill,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ATLAS VENTURE</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300 TECHNOLOGY SQUARE, 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02139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Atlas Venture Associates Opportunity III,</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980" w:type="dxa"/>
            <w:vAlign w:val="bottom"/>
          </w:tcPr>
          <w:p>
            <w:pPr>
              <w:ind w:left="100"/>
              <w:spacing w:after="0"/>
              <w:rPr>
                <w:sz w:val="20"/>
                <w:szCs w:val="20"/>
                <w:color w:val="auto"/>
              </w:rPr>
            </w:pPr>
            <w:r>
              <w:rPr>
                <w:rFonts w:ascii="Arial" w:cs="Arial" w:eastAsia="Arial" w:hAnsi="Arial"/>
                <w:sz w:val="15"/>
                <w:szCs w:val="15"/>
                <w:color w:val="auto"/>
              </w:rPr>
              <w:t>(First)</w:t>
            </w:r>
          </w:p>
        </w:tc>
        <w:tc>
          <w:tcPr>
            <w:tcW w:w="1840" w:type="dxa"/>
            <w:vAlign w:val="bottom"/>
          </w:tcPr>
          <w:p>
            <w:pPr>
              <w:ind w:left="50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300 TECHNOLOGY SQ., 8TH FLOOR</w:t>
            </w:r>
          </w:p>
        </w:tc>
      </w:tr>
      <w:tr>
        <w:trPr>
          <w:trHeight w:val="237"/>
        </w:trPr>
        <w:tc>
          <w:tcPr>
            <w:tcW w:w="2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840" w:type="dxa"/>
            <w:vAlign w:val="bottom"/>
            <w:tcBorders>
              <w:bottom w:val="single" w:sz="8" w:color="9A9A9A"/>
            </w:tcBorders>
          </w:tcPr>
          <w:p>
            <w:pPr>
              <w:spacing w:after="0"/>
              <w:rPr>
                <w:sz w:val="20"/>
                <w:szCs w:val="20"/>
                <w:color w:val="auto"/>
              </w:rPr>
            </w:pPr>
          </w:p>
        </w:tc>
      </w:tr>
      <w:tr>
        <w:trPr>
          <w:trHeight w:val="303"/>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CAMBRIDGE</w:t>
            </w:r>
          </w:p>
        </w:tc>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840" w:type="dxa"/>
            <w:vAlign w:val="bottom"/>
          </w:tcPr>
          <w:p>
            <w:pPr>
              <w:ind w:left="500"/>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0"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051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2051685"/>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Atlas Venture Associates Opportunity III,</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300 TECHNOLOGY SQ., 8TH FLOOR</w:t>
            </w:r>
          </w:p>
        </w:tc>
      </w:tr>
      <w:tr>
        <w:trPr>
          <w:trHeight w:val="237"/>
        </w:trPr>
        <w:tc>
          <w:tcPr>
            <w:tcW w:w="2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CAMBRIDGE</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owned directly by Atlas Venture Opportunity Fund III, L.P. ("AVOF III"). Atlas Venture Associates Opportunity III, L.P. ("AVAO III LP") is the general partner of AVOF III. Atlas Venture Associates Opportunity III, LLC ("AVAO III LLC") is the general partner of AVAO III LP. Each of AVAO III LP and AVAO III LLC disclaims beneficial ownership of the securities held by AVOF III, except to the extent of its pecuniary interest therein, if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008000"/>
        </w:rPr>
        <w:t>The Reporting Persons are under common control with other entities affiliated with Atlas Venture who, together with the Reporting Persons, collectively beneficially own in the aggregate greater than 10% of the outstanding common stock of the Issuer. The Reporting Persons may be deemed to be members of a "group" with such other entities for purposes of Section 13 of the Exchange Act. However, the Reporting Persons disclaim such group membership, and this Form 3 shall not be deemed an admission that the Reporting Persons are members of a group for purposes of Section 13 of the Exchange Act or for any other purposes.</w:t>
      </w:r>
    </w:p>
    <w:p>
      <w:pPr>
        <w:sectPr>
          <w:pgSz w:w="11900" w:h="16838" w:orient="portrait"/>
          <w:cols w:equalWidth="0" w:num="1">
            <w:col w:w="10820"/>
          </w:cols>
          <w:pgMar w:left="520" w:top="178" w:right="559" w:bottom="1440" w:gutter="0" w:footer="0" w:header="0"/>
        </w:sectPr>
      </w:pPr>
    </w:p>
    <w:p>
      <w:pPr>
        <w:spacing w:after="0" w:line="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Atlas Venture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445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III,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76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Opportunity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38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44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744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Opportunity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50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4709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82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Opportunity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60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560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825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Opportunity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507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4709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82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Opportunity III,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016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4709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00" w:space="120"/>
            <w:col w:w="2100"/>
          </w:cols>
          <w:pgMar w:left="520" w:top="178"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78"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10" Type="http://schemas.openxmlformats.org/officeDocument/2006/relationships/hyperlink" Target="http://www.sec.gov/cgi-bin/browse-edgar?action=getcompany&amp;CIK=0002078188" TargetMode="External"/><Relationship Id="rId11" Type="http://schemas.openxmlformats.org/officeDocument/2006/relationships/hyperlink" Target="http://www.sec.gov/cgi-bin/browse-edgar?action=getcompany&amp;CIK=0001661998" TargetMode="External"/><Relationship Id="rId12" Type="http://schemas.openxmlformats.org/officeDocument/2006/relationships/hyperlink" Target="http://www.sec.gov/cgi-bin/browse-edgar?action=getcompany&amp;CIK=0002137711" TargetMode="External"/><Relationship Id="rId14" Type="http://schemas.openxmlformats.org/officeDocument/2006/relationships/hyperlink" Target="http://www.sec.gov/cgi-bin/browse-edgar?action=getcompany&amp;CIK=00021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2026-06-08T15:31:24Z</dcterms:created>
  <dcterms:modified xsi:type="dcterms:W3CDTF">2026-06-08T15:31:24Z</dcterms:modified>
</cp:coreProperties>
</file>