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31, 2024</w:t>
      </w:r>
    </w:p>
    <w:p>
      <w:pPr>
        <w:spacing w:after="0" w:line="225"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Q32 BIO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50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47-3468154</w:t>
      </w:r>
    </w:p>
    <w:p>
      <w:pPr>
        <w:spacing w:after="0" w:line="12" w:lineRule="exact"/>
        <w:rPr>
          <w:sz w:val="24"/>
          <w:szCs w:val="24"/>
          <w:color w:val="auto"/>
        </w:rPr>
      </w:pPr>
    </w:p>
    <w:p>
      <w:pPr>
        <w:sectPr>
          <w:pgSz w:w="11900" w:h="16838" w:orient="portrait"/>
          <w:cols w:equalWidth="0" w:num="2">
            <w:col w:w="7180" w:space="720"/>
            <w:col w:w="3060"/>
          </w:cols>
          <w:pgMar w:left="440" w:top="225" w:right="499" w:bottom="50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500" w:gutter="0" w:footer="0" w:header="0"/>
          <w:type w:val="continuous"/>
        </w:sectPr>
      </w:pP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830 Winter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(781) 999-0232</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60"/>
          </w:cols>
          <w:pgMar w:left="440" w:top="225" w:right="499" w:bottom="50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Q32 Bio Inc. 2017 Stock Option and Grant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Q32 Bio Inc. 2023 Stock Option and Incentive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Q32 Bio Inc. 2024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Jodie Morrison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830 Winter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(781) 999-0232</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Kingsley L. Taft,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Sarah Ashfaq,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Haggerty,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Jacqueline Mercier,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50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25, 2024, Q32 Bio Inc. (previously named Homology Medicines, Inc.) (the “Registrant”) entered into an Agreement and Plan of Merger (the “Merger Agreement”) with Q32 Bio Operations Inc. (previously named Q32 Bio Inc.) (“Legacy Q32”) and Kenobi Merger Sub, Inc., a wholly-owned subsidiary of the Registrant (“Merger Sub”), whereby Merger Sub merged with and into Legacy Q32, with Legacy Q32 surviving such merger as a wholly-owned subsidiary of the Registrant (the “Merger”). Upon the closing of the Merger, the Registrant was renamed Q32 Bio Inc.</w:t>
      </w:r>
    </w:p>
    <w:p>
      <w:pPr>
        <w:spacing w:after="0" w:line="1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Merger, each option to purchase shares of Legacy Q32 common stock outstanding as of immediately prior to the effective time of the Merger (the “Effective Time”) was assumed by the Registrant and converted, at the Effective Time, into an option to acquire the number of shares of the Registrant’s common stock, par value $0.0001 per share (the “Common Stock”) equal to the number of shares of Legacy Q32 common stock subject to such option as of immediately prior to the Effective Time multiplied by the exchange ratio of 0.048 and rounding that result down to the nearest whole number of shares. The Registrant assumed the Q32 Bio Inc. 2017 Stock Option and Grant Plan (the “2017 Plan”) and each such Legacy Q32 option in accordance with the terms of the 2017 Plan and the terms of each stock option agreement by which such Legacy Q32 option is evidenced.</w:t>
      </w:r>
    </w:p>
    <w:p>
      <w:pPr>
        <w:spacing w:after="0" w:line="17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Accordingly, this Registration Statement registers (i) 1,112,253 shares of Common Stock issuable with respect to Legacy Q32 options assumed by the Registrant pursuant to the Merger Agreement, (ii) 902,331 shares of Common Stock issuable with respect to options granted pursuant to the Q32 Bio Inc. 2024 Stock Option and Incentive Plan (the “2024 Plan”), (iii) 1,937,557 additional shares of Common Stock reserved and available for future issuance under the 2024 Plan and (iv) 120,836 additional shares of Common Stock reserved and available for future issuance under the Q32 Bio Inc. 2024 Employee Stock Purchase Plan. All applicable share amounts reflect the 1-for-18 reverse stock split of the Registrant’s Common Stock that was effected on March 25, 2024 immediately prior to closing of the Merger.</w:t>
      </w:r>
    </w:p>
    <w:p>
      <w:pPr>
        <w:spacing w:after="0" w:line="187" w:lineRule="exact"/>
        <w:rPr>
          <w:sz w:val="20"/>
          <w:szCs w:val="20"/>
          <w:color w:val="auto"/>
        </w:rPr>
      </w:pPr>
    </w:p>
    <w:p>
      <w:pPr>
        <w:ind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Registrant’s Registration Statements on Form S-8 (Registration No. </w:t>
      </w:r>
      <w:hyperlink r:id="rId18">
        <w:r>
          <w:rPr>
            <w:rFonts w:ascii="Times New Roman" w:cs="Times New Roman" w:eastAsia="Times New Roman" w:hAnsi="Times New Roman"/>
            <w:sz w:val="18"/>
            <w:szCs w:val="18"/>
            <w:u w:val="single" w:color="auto"/>
            <w:color w:val="0000EE"/>
          </w:rPr>
          <w:t>333-270398</w:t>
        </w:r>
      </w:hyperlink>
      <w:r>
        <w:rPr>
          <w:rFonts w:ascii="Times New Roman" w:cs="Times New Roman" w:eastAsia="Times New Roman" w:hAnsi="Times New Roman"/>
          <w:sz w:val="18"/>
          <w:szCs w:val="18"/>
          <w:color w:val="auto"/>
        </w:rPr>
        <w:t xml:space="preserve">, and </w:t>
      </w:r>
      <w:hyperlink r:id="rId19">
        <w:r>
          <w:rPr>
            <w:rFonts w:ascii="Times New Roman" w:cs="Times New Roman" w:eastAsia="Times New Roman" w:hAnsi="Times New Roman"/>
            <w:sz w:val="18"/>
            <w:szCs w:val="18"/>
            <w:u w:val="single" w:color="auto"/>
            <w:color w:val="0000EE"/>
          </w:rPr>
          <w:t>333-224030</w:t>
        </w:r>
      </w:hyperlink>
      <w:r>
        <w:rPr>
          <w:rFonts w:ascii="Times New Roman" w:cs="Times New Roman" w:eastAsia="Times New Roman" w:hAnsi="Times New Roman"/>
          <w:sz w:val="18"/>
          <w:szCs w:val="18"/>
          <w:color w:val="auto"/>
        </w:rPr>
        <w:t>) together with all exhibits filed therewith or incorporated by reference therein, are hereby incorporated by reference pursuant to General Instruction E.</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Plan Information.</w:t>
      </w:r>
    </w:p>
    <w:p>
      <w:pPr>
        <w:spacing w:after="0" w:line="121"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The documents containing the information specified in this Item 1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Registration Statement on Form S-8 (this “Registration Statement”) or as prospectuses or prospectus supplements pursuant to Rule 424 under the Securities Act.</w:t>
      </w:r>
    </w:p>
    <w:p>
      <w:pPr>
        <w:spacing w:after="0" w:line="309"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Registrant Information and Employee Plan Annual Information.</w:t>
      </w:r>
    </w:p>
    <w:p>
      <w:pPr>
        <w:spacing w:after="0" w:line="121"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424" w:right="66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Commission on </w:t>
      </w:r>
      <w:hyperlink r:id="rId21">
        <w:r>
          <w:rPr>
            <w:rFonts w:ascii="Times New Roman" w:cs="Times New Roman" w:eastAsia="Times New Roman" w:hAnsi="Times New Roman"/>
            <w:sz w:val="18"/>
            <w:szCs w:val="18"/>
            <w:u w:val="single" w:color="auto"/>
            <w:color w:val="0000EE"/>
          </w:rPr>
          <w:t>March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Amendment No. 1 to our Annual Report on Form 10-K/A filed with the Commission on </w:t>
      </w:r>
      <w:hyperlink r:id="rId22">
        <w:r>
          <w:rPr>
            <w:rFonts w:ascii="Times New Roman" w:cs="Times New Roman" w:eastAsia="Times New Roman" w:hAnsi="Times New Roman"/>
            <w:sz w:val="18"/>
            <w:szCs w:val="18"/>
            <w:u w:val="single" w:color="auto"/>
            <w:color w:val="0000EE"/>
          </w:rPr>
          <w:t>April 12,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March 31, 2024, filed with the Commission on </w:t>
      </w:r>
      <w:hyperlink r:id="rId23">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424" w:right="32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Commission on </w:t>
      </w:r>
      <w:hyperlink r:id="rId24">
        <w:r>
          <w:rPr>
            <w:rFonts w:ascii="Times New Roman" w:cs="Times New Roman" w:eastAsia="Times New Roman" w:hAnsi="Times New Roman"/>
            <w:sz w:val="18"/>
            <w:szCs w:val="18"/>
            <w:u w:val="single" w:color="auto"/>
            <w:color w:val="0000EE"/>
          </w:rPr>
          <w:t>January 3, 2024</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March 20, 2024</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March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on </w:t>
      </w:r>
      <w:hyperlink r:id="rId28">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information furnished pursuant to Items 2.02 or 7.01, or corresponding information furnished under Item 9.01 or included as an exhibit); and</w:t>
      </w:r>
    </w:p>
    <w:p>
      <w:pPr>
        <w:spacing w:after="0" w:line="81" w:lineRule="exact"/>
        <w:rPr>
          <w:rFonts w:ascii="Times New Roman" w:cs="Times New Roman" w:eastAsia="Times New Roman" w:hAnsi="Times New Roman"/>
          <w:sz w:val="18"/>
          <w:szCs w:val="18"/>
          <w:color w:val="auto"/>
        </w:rPr>
      </w:pPr>
    </w:p>
    <w:p>
      <w:pPr>
        <w:jc w:val="both"/>
        <w:ind w:left="424" w:right="28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(i) the Registration Statement on </w:t>
      </w:r>
      <w:hyperlink r:id="rId2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001-38433), filed by the Registrant with the Commission under Section 12(b) of the Securities Exchange Act of 1934, as amended (the “Exchange Act”), on March 19, 2018, including any amendments or reports filed for the purpose of updating such description and (ii) </w:t>
      </w:r>
      <w:hyperlink r:id="rId30">
        <w:r>
          <w:rPr>
            <w:rFonts w:ascii="Times New Roman" w:cs="Times New Roman" w:eastAsia="Times New Roman" w:hAnsi="Times New Roman"/>
            <w:sz w:val="18"/>
            <w:szCs w:val="18"/>
            <w:u w:val="single" w:color="auto"/>
            <w:color w:val="0000EE"/>
          </w:rPr>
          <w:t>Exhibit 4.1</w:t>
        </w:r>
      </w:hyperlink>
      <w:r>
        <w:rPr>
          <w:rFonts w:ascii="Times New Roman" w:cs="Times New Roman" w:eastAsia="Times New Roman" w:hAnsi="Times New Roman"/>
          <w:sz w:val="18"/>
          <w:szCs w:val="18"/>
          <w:color w:val="auto"/>
        </w:rPr>
        <w:t xml:space="preserve">—Description of Securities to Amendment No. 1 to our Annual Report on Form 10-K/A, as filed with the Commission on </w:t>
      </w:r>
      <w:hyperlink r:id="rId22">
        <w:r>
          <w:rPr>
            <w:rFonts w:ascii="Times New Roman" w:cs="Times New Roman" w:eastAsia="Times New Roman" w:hAnsi="Times New Roman"/>
            <w:sz w:val="18"/>
            <w:szCs w:val="18"/>
            <w:u w:val="single" w:color="auto"/>
            <w:color w:val="0000EE"/>
          </w:rPr>
          <w:t>April 12, 2024</w:t>
        </w:r>
      </w:hyperlink>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that indicates that all of the shares of Common Stock offered have been sold or that deregisters all of such shares then remaining unsold, shall be deemed to be incorporated by reference in this Registration Statement and to be a part hereof from the date of the filing of such documents.</w:t>
      </w:r>
    </w:p>
    <w:p>
      <w:pPr>
        <w:sectPr>
          <w:pgSz w:w="11900" w:h="16838" w:orient="portrait"/>
          <w:cols w:equalWidth="0" w:num="1">
            <w:col w:w="11004"/>
          </w:cols>
          <w:pgMar w:left="436" w:top="266" w:right="459" w:bottom="1440" w:gutter="0" w:footer="0" w:header="0"/>
        </w:sectPr>
      </w:pPr>
    </w:p>
    <w:bookmarkStart w:id="3" w:name="page4"/>
    <w:bookmarkEnd w:id="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filed under current items 2.02 or 7.01 of Form 8-K be deemed incorporated herein by reference unless such Form 8-K expressly provides to the contrary.</w:t>
      </w:r>
    </w:p>
    <w:p>
      <w:pPr>
        <w:sectPr>
          <w:pgSz w:w="11900" w:h="16838" w:orient="portrait"/>
          <w:cols w:equalWidth="0" w:num="1">
            <w:col w:w="10940"/>
          </w:cols>
          <w:pgMar w:left="440" w:top="270" w:right="51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sectPr>
          <w:pgSz w:w="11900" w:h="16838" w:orient="portrait"/>
          <w:cols w:equalWidth="0" w:num="2">
            <w:col w:w="520" w:space="560"/>
            <w:col w:w="986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40"/>
          </w:cols>
          <w:pgMar w:left="440" w:top="270" w:right="51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21" w:lineRule="exact"/>
        <w:rPr>
          <w:sz w:val="20"/>
          <w:szCs w:val="20"/>
          <w:color w:val="auto"/>
        </w:rPr>
      </w:pPr>
    </w:p>
    <w:p>
      <w:pPr>
        <w:sectPr>
          <w:pgSz w:w="11900" w:h="16838" w:orient="portrait"/>
          <w:cols w:equalWidth="0" w:num="2">
            <w:col w:w="520" w:space="560"/>
            <w:col w:w="986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40"/>
          </w:cols>
          <w:pgMar w:left="440" w:top="270" w:right="51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sectPr>
          <w:pgSz w:w="11900" w:h="16838" w:orient="portrait"/>
          <w:cols w:equalWidth="0" w:num="2">
            <w:col w:w="520" w:space="560"/>
            <w:col w:w="9860"/>
          </w:cols>
          <w:pgMar w:left="440" w:top="270" w:right="519" w:bottom="1440" w:gutter="0" w:footer="0" w:header="0"/>
          <w:type w:val="continuous"/>
        </w:sectPr>
      </w:pPr>
    </w:p>
    <w:p>
      <w:pPr>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fairly and reasonably entitled to indemnification of such expenses.</w:t>
      </w:r>
    </w:p>
    <w:p>
      <w:pPr>
        <w:sectPr>
          <w:pgSz w:w="11900" w:h="16838" w:orient="portrait"/>
          <w:cols w:equalWidth="0" w:num="1">
            <w:col w:w="10940"/>
          </w:cols>
          <w:pgMar w:left="440" w:top="270" w:right="519" w:bottom="1440" w:gutter="0" w:footer="0" w:header="0"/>
          <w:type w:val="continuous"/>
        </w:sectPr>
      </w:pPr>
    </w:p>
    <w:bookmarkStart w:id="4" w:name="page5"/>
    <w:bookmarkEnd w:id="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Merger Agreement, from the Effective Time through the sixth anniversary of the date of the Effective Time, we agreed to indemnify and hold harmless each person who was, as of November 16, 2023, the signing date of the Merger Agreement, or had been at any time prior, or who became prior to the Effective Time, a director or officer of our company or Legacy Q32, against all claims, losses, liabilities, damages, judgments, fines and reasonable fees, costs and expenses, including attorneys’ fees and disbursements, pertaining to claims arising out of the fact that such person was a director or officer of our company or Legacy Q32, at or prior to the Effective Time, to the fullest extent permitted under the DGCL.</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our restated certificate of incorporation and our amended and restated bylaws that were in effect as of November 16, 2023, the date of the Merger Agreement, with respect to indemnification, advancement of expenses and exculpation of our present and former directors and officers for a period of six years from the Effective Time in a manner that would adversely affect the rights of such individuals who at the Effective Time were our officers or directors.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Merger, we purchased an insurance policy in effect for six years from the Effective Time, providing no less favorable coverage as the prior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0"/>
          </w:cols>
          <w:pgMar w:left="440" w:top="270"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-210820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 w:space="560"/>
            <w:col w:w="9820"/>
          </w:cols>
          <w:pgMar w:left="436" w:top="266" w:right="559" w:bottom="1440" w:gutter="0" w:footer="0" w:header="0"/>
        </w:sectPr>
      </w:pPr>
    </w:p>
    <w:p>
      <w:pPr>
        <w:spacing w:after="0" w:line="2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904"/>
          </w:cols>
          <w:pgMar w:left="436" w:top="266" w:right="559" w:bottom="1440" w:gutter="0" w:footer="0" w:header="0"/>
          <w:type w:val="continuous"/>
        </w:sectPr>
      </w:pPr>
    </w:p>
    <w:p>
      <w:pPr>
        <w:spacing w:after="0" w:line="250" w:lineRule="exact"/>
        <w:rPr>
          <w:sz w:val="20"/>
          <w:szCs w:val="20"/>
          <w:color w:val="auto"/>
        </w:rPr>
      </w:pPr>
    </w:p>
    <w:p>
      <w:pPr>
        <w:jc w:val="center"/>
        <w:ind w:right="435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5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24" w:space="720"/>
            <w:col w:w="5360"/>
          </w:cols>
          <w:pgMar w:left="436" w:top="266" w:right="559" w:bottom="1440" w:gutter="0" w:footer="0" w:header="0"/>
          <w:type w:val="continuous"/>
        </w:sectPr>
      </w:pPr>
    </w:p>
    <w:p>
      <w:pPr>
        <w:ind w:left="784" w:right="20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34">
        <w:r>
          <w:rPr>
            <w:rFonts w:ascii="Times New Roman" w:cs="Times New Roman" w:eastAsia="Times New Roman" w:hAnsi="Times New Roman"/>
            <w:sz w:val="18"/>
            <w:szCs w:val="18"/>
            <w:u w:val="single" w:color="auto"/>
            <w:color w:val="0000EE"/>
          </w:rPr>
          <w:t>Restated Certificate of Incorporation, as currently in effect (incorporated by reference to Exhibit 3.1 of the Registrant’s Current Report on</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Form 8-K filed on April 3, 2018 (File No. 001-38433)).</w:t>
        </w:r>
      </w:hyperlink>
    </w:p>
    <w:p>
      <w:pPr>
        <w:spacing w:after="0" w:line="53" w:lineRule="exact"/>
        <w:rPr>
          <w:rFonts w:ascii="Times New Roman" w:cs="Times New Roman" w:eastAsia="Times New Roman" w:hAnsi="Times New Roman"/>
          <w:sz w:val="18"/>
          <w:szCs w:val="18"/>
          <w:u w:val="single" w:color="auto"/>
          <w:color w:val="0000EE"/>
        </w:rPr>
      </w:pPr>
    </w:p>
    <w:p>
      <w:pPr>
        <w:ind w:left="784" w:right="260" w:hanging="784"/>
        <w:spacing w:after="0" w:line="266"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35">
        <w:r>
          <w:rPr>
            <w:rFonts w:ascii="Times New Roman" w:cs="Times New Roman" w:eastAsia="Times New Roman" w:hAnsi="Times New Roman"/>
            <w:sz w:val="18"/>
            <w:szCs w:val="18"/>
            <w:u w:val="single" w:color="auto"/>
            <w:color w:val="0000EE"/>
          </w:rPr>
          <w:t>Certificate of Amendment to the Amended and Restated Certificate of Incorporation of the Company—reverse stock split and authorized</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share increase, dated March 25, 2024 (incorporated by reference to Exhibit 3.1 of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March 27, 2024 (File No. 001-38433)).</w:t>
        </w:r>
      </w:hyperlink>
    </w:p>
    <w:p>
      <w:pPr>
        <w:spacing w:after="0" w:line="67" w:lineRule="exact"/>
        <w:rPr>
          <w:rFonts w:ascii="Times New Roman" w:cs="Times New Roman" w:eastAsia="Times New Roman" w:hAnsi="Times New Roman"/>
          <w:sz w:val="18"/>
          <w:szCs w:val="18"/>
          <w:u w:val="single" w:color="auto"/>
          <w:color w:val="0000EE"/>
        </w:rPr>
      </w:pPr>
    </w:p>
    <w:p>
      <w:pPr>
        <w:ind w:left="784"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6">
        <w:r>
          <w:rPr>
            <w:rFonts w:ascii="Times New Roman" w:cs="Times New Roman" w:eastAsia="Times New Roman" w:hAnsi="Times New Roman"/>
            <w:sz w:val="18"/>
            <w:szCs w:val="18"/>
            <w:u w:val="single" w:color="auto"/>
            <w:color w:val="0000EE"/>
          </w:rPr>
          <w:t>Certificate of Amendment to the Amended and Restated Certificate of Incorporation of the Company—name change, dated March 25, 2024</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(incorporated by reference to Exhibit 3.2 of the Registrant’s Current Report on Form 8-K filed on March 27, 2024 (File No. 001-38433)).</w:t>
        </w:r>
      </w:hyperlink>
    </w:p>
    <w:p>
      <w:pPr>
        <w:spacing w:after="0" w:line="53" w:lineRule="exact"/>
        <w:rPr>
          <w:rFonts w:ascii="Times New Roman" w:cs="Times New Roman" w:eastAsia="Times New Roman" w:hAnsi="Times New Roman"/>
          <w:sz w:val="18"/>
          <w:szCs w:val="18"/>
          <w:u w:val="single" w:color="auto"/>
          <w:color w:val="0000EE"/>
        </w:rPr>
      </w:pPr>
    </w:p>
    <w:p>
      <w:pPr>
        <w:ind w:left="784" w:right="18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37">
        <w:r>
          <w:rPr>
            <w:rFonts w:ascii="Times New Roman" w:cs="Times New Roman" w:eastAsia="Times New Roman" w:hAnsi="Times New Roman"/>
            <w:sz w:val="18"/>
            <w:szCs w:val="18"/>
            <w:u w:val="single" w:color="auto"/>
            <w:color w:val="0000EE"/>
          </w:rPr>
          <w:t>Amended and Restated Bylaws, as currently in effect (incorporated by reference to Exhibit 3.1 to the Registrant’s Current Report on Form</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8-K filed on December 18, 2020 (File No. 001-38433)).</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Goodwin Procter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Deloitte &amp; Touche LLP, former independent registered public accounting firm.</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w:t>
      </w:r>
      <w:r>
        <w:rPr>
          <w:rFonts w:ascii="Times New Roman" w:cs="Times New Roman" w:eastAsia="Times New Roman" w:hAnsi="Times New Roman"/>
          <w:sz w:val="17"/>
          <w:szCs w:val="17"/>
          <w:u w:val="single" w:color="auto"/>
          <w:color w:val="0000EE"/>
        </w:rPr>
        <w:t>Consent of Goodwin Procter LLP (included in Exhibit 5.1).</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7"/>
          <w:szCs w:val="17"/>
          <w:u w:val="single" w:color="auto"/>
          <w:color w:val="0000EE"/>
        </w:rPr>
        <w:t>Power of Attorney (included on signature page).</w:t>
      </w:r>
    </w:p>
    <w:p>
      <w:pPr>
        <w:spacing w:after="0" w:line="128" w:lineRule="exact"/>
        <w:rPr>
          <w:rFonts w:ascii="Times New Roman" w:cs="Times New Roman" w:eastAsia="Times New Roman" w:hAnsi="Times New Roman"/>
          <w:sz w:val="16"/>
          <w:szCs w:val="16"/>
          <w:color w:val="auto"/>
        </w:rPr>
      </w:pPr>
    </w:p>
    <w:p>
      <w:pPr>
        <w:ind w:left="784" w:right="2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8">
        <w:r>
          <w:rPr>
            <w:rFonts w:ascii="Times New Roman" w:cs="Times New Roman" w:eastAsia="Times New Roman" w:hAnsi="Times New Roman"/>
            <w:sz w:val="18"/>
            <w:szCs w:val="18"/>
            <w:u w:val="single" w:color="auto"/>
            <w:color w:val="0000EE"/>
          </w:rPr>
          <w:t>Q32 Bio Inc. 2017 Stock Option and Grant Plan, and form of award agreements thereunder (incorporated by reference to Exhibit 10.8 of the</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Registrant’s Form 8-K filed on March 27, 2024 (File No. 001-38433)).</w:t>
        </w:r>
      </w:hyperlink>
    </w:p>
    <w:p>
      <w:pPr>
        <w:spacing w:after="0" w:line="53" w:lineRule="exact"/>
        <w:rPr>
          <w:rFonts w:ascii="Times New Roman" w:cs="Times New Roman" w:eastAsia="Times New Roman" w:hAnsi="Times New Roman"/>
          <w:sz w:val="18"/>
          <w:szCs w:val="18"/>
          <w:u w:val="single" w:color="auto"/>
          <w:color w:val="0000EE"/>
        </w:rPr>
      </w:pPr>
    </w:p>
    <w:p>
      <w:pPr>
        <w:ind w:left="784" w:right="2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9">
        <w:r>
          <w:rPr>
            <w:rFonts w:ascii="Times New Roman" w:cs="Times New Roman" w:eastAsia="Times New Roman" w:hAnsi="Times New Roman"/>
            <w:sz w:val="18"/>
            <w:szCs w:val="18"/>
            <w:u w:val="single" w:color="auto"/>
            <w:color w:val="0000EE"/>
          </w:rPr>
          <w:t>Q32 Bio Inc. 2024 Stock Option and Incentive Plan, and form of award agreements thereunder (incorporated by reference to Exhibit 10.9 of</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the Registrant’s Form 8-K filed March 27, 2024 (File No. 001-38433)).</w:t>
        </w:r>
      </w:hyperlink>
    </w:p>
    <w:p>
      <w:pPr>
        <w:spacing w:after="0" w:line="53" w:lineRule="exact"/>
        <w:rPr>
          <w:rFonts w:ascii="Times New Roman" w:cs="Times New Roman" w:eastAsia="Times New Roman" w:hAnsi="Times New Roman"/>
          <w:sz w:val="18"/>
          <w:szCs w:val="18"/>
          <w:u w:val="single" w:color="auto"/>
          <w:color w:val="0000EE"/>
        </w:rPr>
      </w:pPr>
    </w:p>
    <w:p>
      <w:pPr>
        <w:ind w:left="784" w:right="4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40">
        <w:r>
          <w:rPr>
            <w:rFonts w:ascii="Times New Roman" w:cs="Times New Roman" w:eastAsia="Times New Roman" w:hAnsi="Times New Roman"/>
            <w:sz w:val="18"/>
            <w:szCs w:val="18"/>
            <w:u w:val="single" w:color="auto"/>
            <w:color w:val="0000EE"/>
          </w:rPr>
          <w:t>Q32 Bio Inc. 2024 Employee Stock Purchase Plan (incorporated by reference to Exhibit 10.10 of the Registrant’s Form 8-K filed March 27,</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2024 (File No. 001-38433)).</w:t>
        </w:r>
      </w:hyperlink>
    </w:p>
    <w:p>
      <w:pPr>
        <w:spacing w:after="0" w:line="54"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70" w:lineRule="exact"/>
        <w:rPr>
          <w:rFonts w:ascii="Times New Roman" w:cs="Times New Roman" w:eastAsia="Times New Roman" w:hAnsi="Times New Roman"/>
          <w:sz w:val="18"/>
          <w:szCs w:val="18"/>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4" w:right="60" w:hanging="4"/>
        <w:spacing w:after="0" w:line="256"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Registration Statement.</w:t>
      </w:r>
    </w:p>
    <w:p>
      <w:pPr>
        <w:spacing w:after="0" w:line="187" w:lineRule="exact"/>
        <w:rPr>
          <w:rFonts w:ascii="Times New Roman" w:cs="Times New Roman" w:eastAsia="Times New Roman" w:hAnsi="Times New Roman"/>
          <w:sz w:val="18"/>
          <w:szCs w:val="18"/>
          <w:color w:val="auto"/>
        </w:rPr>
      </w:pPr>
    </w:p>
    <w:p>
      <w:pPr>
        <w:ind w:left="4" w:right="140" w:hanging="4"/>
        <w:spacing w:after="0" w:line="282"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Times New Roman" w:cs="Times New Roman" w:eastAsia="Times New Roman" w:hAnsi="Times New Roman"/>
          <w:sz w:val="18"/>
          <w:szCs w:val="18"/>
          <w:color w:val="auto"/>
        </w:rPr>
      </w:pPr>
    </w:p>
    <w:p>
      <w:pPr>
        <w:jc w:val="both"/>
        <w:ind w:left="4"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herein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ectPr>
          <w:pgSz w:w="11900" w:h="16838" w:orient="portrait"/>
          <w:cols w:equalWidth="0" w:num="1">
            <w:col w:w="10904"/>
          </w:cols>
          <w:pgMar w:left="436" w:top="266" w:right="559" w:bottom="1440" w:gutter="0" w:footer="0" w:header="0"/>
          <w:type w:val="continuous"/>
        </w:sectPr>
      </w:pPr>
    </w:p>
    <w:bookmarkStart w:id="6" w:name="page7"/>
    <w:bookmarkEnd w:id="6"/>
    <w:p>
      <w:pPr>
        <w:ind w:left="4" w:right="180" w:hanging="4"/>
        <w:spacing w:after="0" w:line="266"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4" w:right="80" w:hanging="4"/>
        <w:spacing w:after="0" w:line="258"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4" w:right="60" w:hanging="4"/>
        <w:spacing w:after="0" w:line="254"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this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May,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Jodie Morrison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Jodie Morrison and Lee Kalowski,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6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Jodie Morrison</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Jodie Morrison</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Lee Kalowski</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President</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Lee Kalowski</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Grayzel</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Grayzel</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Diyong Xu</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Diyong Xu</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Isaac Manke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Isaac Manke</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Arthur Tzianabos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Arthur Tzianabos</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LaPorte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Kathleen LaPorte</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Thistle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Mary Thistle</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Iwicki</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Iwicki</w:t>
            </w:r>
          </w:p>
        </w:tc>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19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657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Bill Lundberg</w:t>
      </w:r>
    </w:p>
    <w:p>
      <w:pPr>
        <w:sectPr>
          <w:pgSz w:w="11900" w:h="16838" w:orient="portrait"/>
          <w:cols w:equalWidth="0" w:num="1">
            <w:col w:w="10900"/>
          </w:cols>
          <w:pgMar w:left="440" w:top="266"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Q32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 Winter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4,072,977 shares (the “Shares”) of Common Stock, $0.0001 par value per share (“Common Stock”), of Q32 Bio Inc., a Delaware corporation (the “Company”), that may be issued pursuant to the Company’s 2017 Stock Option and Grant Plan, 2024 Stock Option and Incentive Plan and 2024 Employee Stock Purchase Plan (collectively, the “Plans”).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 LLP</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2017 Stock Option and Grant Plan, 2023 Stock Option and Incentive Plan and 2024 Employee Stock Purchase Plan of Q32 Bio Inc. of our report dated March 26, 2024, relating to the consolidated financial statements of Q32 Bio Operations Inc. (previously named Q32 Bio Inc.) as of and for the years ended December 31, 2023 and 2022 appearing in a Current Report (Form 8-K) of Q32 Bio Inc. dated March 26,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2024</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12, 2024, relating to the financial statements of Homology Medicines, Inc. appearing in the Annual Report on Form 10-K of Homology Medicines, Inc.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2024</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Q32 Bio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ind w:left="32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92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3"/>
                <w:szCs w:val="13"/>
                <w:color w:val="auto"/>
                <w:w w:val="97"/>
              </w:rPr>
              <w:t>Security Type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920" w:type="dxa"/>
            <w:vAlign w:val="bottom"/>
            <w:tcBorders>
              <w:left w:val="single" w:sz="8" w:color="auto"/>
              <w:right w:val="single" w:sz="8" w:color="auto"/>
            </w:tcBorders>
          </w:tcPr>
          <w:p>
            <w:pPr>
              <w:jc w:val="center"/>
              <w:ind w:left="35"/>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8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$0.0001</w:t>
            </w:r>
          </w:p>
        </w:tc>
        <w:tc>
          <w:tcPr>
            <w:tcW w:w="6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1,112,253(2)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$13,903,162.50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$2,052.11</w:t>
            </w:r>
          </w:p>
        </w:tc>
      </w:tr>
      <w:tr>
        <w:trPr>
          <w:trHeight w:val="211"/>
        </w:trPr>
        <w:tc>
          <w:tcPr>
            <w:tcW w:w="92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Equity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902,331(4)</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$16.83(5)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$15,186,230.73</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$2,241.49</w:t>
            </w:r>
          </w:p>
        </w:tc>
      </w:tr>
      <w:tr>
        <w:trPr>
          <w:trHeight w:val="211"/>
        </w:trPr>
        <w:tc>
          <w:tcPr>
            <w:tcW w:w="92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Equity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1,937,557(6)</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$26.00(7)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$50,376,482.00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$7,435.57</w:t>
            </w:r>
          </w:p>
        </w:tc>
      </w:tr>
      <w:tr>
        <w:trPr>
          <w:trHeight w:val="211"/>
        </w:trPr>
        <w:tc>
          <w:tcPr>
            <w:tcW w:w="92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Equity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6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120,836(8)</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$22.10(9)</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$2,670,475.60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$394.17</w:t>
            </w:r>
          </w:p>
        </w:tc>
      </w:tr>
      <w:tr>
        <w:trPr>
          <w:trHeight w:val="239"/>
        </w:trPr>
        <w:tc>
          <w:tcPr>
            <w:tcW w:w="92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$82,136,350.83</w:t>
            </w:r>
          </w:p>
        </w:tc>
        <w:tc>
          <w:tcPr>
            <w:tcW w:w="9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$12,123.34</w:t>
            </w: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$12,123.34</w:t>
            </w:r>
          </w:p>
        </w:tc>
      </w:tr>
    </w:tbl>
    <w:p>
      <w:pPr>
        <w:spacing w:after="0" w:line="225" w:lineRule="exact"/>
        <w:rPr>
          <w:sz w:val="20"/>
          <w:szCs w:val="20"/>
          <w:color w:val="auto"/>
        </w:rPr>
      </w:pPr>
    </w:p>
    <w:p>
      <w:pPr>
        <w:ind w:left="424" w:right="100" w:hanging="424"/>
        <w:spacing w:after="0" w:line="25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on Form S-8 (“Registration Statement”) shall also cover any additional shares of common stock, $0.0001 par value per share (the “Common Stock”) of Q32 Bio Inc. (previously named Homology Medicines, Inc., the “Registrant”) that become issuable under the Q32 Bio Inc. 2017 Stock Option and Grant Plan (the “2017 Plan”), Q32 Bio Inc. 2024 Stock Option and Incentive Plan (the “2024 Plan”) and the Q32 Bio Inc. 2024 Employee Stock Purchase Plan (the “2024 ESPP”) by reason of any stock dividend, stock split, recapitalization or any other similar transactions.</w:t>
      </w:r>
    </w:p>
    <w:p>
      <w:pPr>
        <w:spacing w:after="0" w:line="3"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1,112,253 shares of Common Stock issuable upon the exercise of outstanding stock options awards as of the date of this Registration Statement assumed under the 2017 Plan. No further grants will be made under the 2017 Plan. To the extent outstanding options granted under the 2017 Plan are cancelled, forfeited or otherwise terminated without being exercised and would otherwise have been returned to the share reserve under the 2017 Plan, the number of shares underlying such awards will be available for future grant under the 2024 Plan.</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of the Securities Act, and based on $12.50, which is the weighted average exercise price (rounded to the nearest cent) of the outstanding option awards under the 2017 Plan as of the date of this Registration Statement.</w:t>
      </w:r>
    </w:p>
    <w:p>
      <w:pPr>
        <w:spacing w:after="0" w:line="1" w:lineRule="exact"/>
        <w:rPr>
          <w:rFonts w:ascii="Times New Roman" w:cs="Times New Roman" w:eastAsia="Times New Roman" w:hAnsi="Times New Roman"/>
          <w:sz w:val="18"/>
          <w:szCs w:val="18"/>
          <w:color w:val="auto"/>
        </w:rPr>
      </w:pPr>
    </w:p>
    <w:p>
      <w:pPr>
        <w:jc w:val="both"/>
        <w:ind w:left="424" w:right="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902,331 shares of Common Stock issuable upon the exercise of outstanding stock options awards under the 2024 Plan as of the date of this Registration Statement. To the extent outstanding options granted under the 2024 Plan are cancelled, forfeited or otherwise terminated without being exercised, the number of shares underlying such awards will be available for future grant under the 2024 Plan.</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of the Securities Act, and based on $16.83, which is the weighted average exercise price (rounded to the nearest cent) of the outstanding option awards under the 2024 Plan as of the date of this Registration Statement.</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1,937,557 shares of Common Stock reserved for issuance under the 2024 Plan. If awards outstanding under the 2017 Plan, as of the date of this Registration Statement are cancelled, forfeited or otherwise terminated without being exercised, the number of shares underlying such awards will be available for future grant under the 2024 Plan. The 2024 Plan provides that an additional number of shares will automatically be added to the shares authorized for issuance under the 2024 Plan on January 1, 2025 and each January 1 thereafter until the plan terminates. The number of shares reserved and available for issuance under the 2024 Plan shall be cumulatively increased by 5% of the number of shares of Common Stock issued and outstanding on the immediately preceding December 31, or such lesser number of shares as approved by the administrator of the 2024 Plan.</w:t>
      </w:r>
    </w:p>
    <w:p>
      <w:pPr>
        <w:spacing w:after="0" w:line="2" w:lineRule="exact"/>
        <w:rPr>
          <w:rFonts w:ascii="Times New Roman" w:cs="Times New Roman" w:eastAsia="Times New Roman" w:hAnsi="Times New Roman"/>
          <w:sz w:val="18"/>
          <w:szCs w:val="18"/>
          <w:color w:val="auto"/>
        </w:rPr>
      </w:pPr>
    </w:p>
    <w:p>
      <w:pPr>
        <w:jc w:val="both"/>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 of the Securities Act, and based on $26.00, the average of the high and low sale prices of the Common Stock as reported on Nasdaq on May 28, 2024 (such date being within five business days of the date that this Registration Statement was filed with the Commission).</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120,836 shares of Common Stock reserved for future issuance under the 2024 ESPP. The 2024 ESPP provides that an additional number of shares will automatically be added to the shares authorized for issuance under the 2024 ESPP on January 1, 2024, and each January 1 thereafter until the plan terminates. The number of shares added each year will be equal to the lesser of: (i) 241,672 shares of Common Stock, (ii) 1% of the number of shares of Common Stock issued and outstanding on the immediately preceding December 31, or (iii) such lesser number of shares of Common Stock as determined by the administrator of the 2024 ESPP.</w:t>
      </w:r>
    </w:p>
    <w:p>
      <w:pPr>
        <w:spacing w:after="0" w:line="1"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 of the Securities Act, and based on 85% (the percentage of the price per share applicable to purchases under the 2024 ESPP) of $26.00, the average of the high and low sale prices of the Common Stock as reported on Nasdaq on May 28, 2024 (such date being within five business days of the date that this Registration Statement was filed with the Commission).</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
      <w:numFmt w:val="bullet"/>
      <w:start w:val="1"/>
    </w:lvl>
  </w:abstractNum>
  <w:abstractNum w:abstractNumId="2">
    <w:nsid w:val="507ED7AB"/>
    <w:multiLevelType w:val="hybridMultilevel"/>
    <w:lvl w:ilvl="0">
      <w:lvlJc w:val="left"/>
      <w:lvlText w:val="%1"/>
      <w:numFmt w:val="decimal"/>
      <w:start w:val="107"/>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8"/>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18" Type="http://schemas.openxmlformats.org/officeDocument/2006/relationships/hyperlink" Target="http://www.sec.gov/Archives/edgar/data/1661998/000119312523066120/d811283ds8.htm" TargetMode="External"/><Relationship Id="rId19" Type="http://schemas.openxmlformats.org/officeDocument/2006/relationships/hyperlink" Target="http://www.sec.gov/Archives/edgar/data/1661998/000119312518102218/d558306ds8.htm" TargetMode="External"/><Relationship Id="rId21" Type="http://schemas.openxmlformats.org/officeDocument/2006/relationships/hyperlink" Target="http://www.sec.gov/ix?doc=/Archives/edgar/data/0001661998/000095017024030478/fixx-20231231.htm" TargetMode="External"/><Relationship Id="rId22" Type="http://schemas.openxmlformats.org/officeDocument/2006/relationships/hyperlink" Target="http://www.sec.gov/ix?doc=/Archives/edgar/data/0001661998/000119312524094768/d800222d10ka.htm" TargetMode="External"/><Relationship Id="rId23" Type="http://schemas.openxmlformats.org/officeDocument/2006/relationships/hyperlink" Target="http://www.sec.gov/ix?doc=/Archives/edgar/data/0001661998/000095017024056273/qttb-20240331.htm" TargetMode="External"/><Relationship Id="rId24" Type="http://schemas.openxmlformats.org/officeDocument/2006/relationships/hyperlink" Target="http://www.sec.gov/ix?doc=/Archives/edgar/data/0001661998/000119312524001519/d648217d8k.htm" TargetMode="External"/><Relationship Id="rId25" Type="http://schemas.openxmlformats.org/officeDocument/2006/relationships/hyperlink" Target="http://www.sec.gov/ix?doc=/Archives/edgar/data/0001661998/000119312524069285/d806902d8k.htm" TargetMode="External"/><Relationship Id="rId26" Type="http://schemas.openxmlformats.org/officeDocument/2006/relationships/hyperlink" Target="http://www.sec.gov/ix?doc=/Archives/edgar/data/0001661998/000119312524072689/d808597d8k.htm" TargetMode="External"/><Relationship Id="rId27" Type="http://schemas.openxmlformats.org/officeDocument/2006/relationships/hyperlink" Target="http://www.sec.gov/ix?doc=/Archives/edgar/data/0001661998/000119312524077930/d811189d8k.htm" TargetMode="External"/><Relationship Id="rId28" Type="http://schemas.openxmlformats.org/officeDocument/2006/relationships/hyperlink" Target="http://www.sec.gov/ix?doc=/Archives/edgar/data/0001661998/000119312524074775/d817398d8ka.htm" TargetMode="External"/><Relationship Id="rId29" Type="http://schemas.openxmlformats.org/officeDocument/2006/relationships/hyperlink" Target="http://www.sec.gov/Archives/edgar/data/1661998/000119312518086568/d547147d8a12b.htm" TargetMode="External"/><Relationship Id="rId30" Type="http://schemas.openxmlformats.org/officeDocument/2006/relationships/hyperlink" Target="http://www.sec.gov/Archives/edgar/data/1661998/000119312524094768/d800222dex41.htm" TargetMode="External"/><Relationship Id="rId34" Type="http://schemas.openxmlformats.org/officeDocument/2006/relationships/hyperlink" Target="http://www.sec.gov/Archives/edgar/data/1661998/000119312518106196/d535307dex31.htm" TargetMode="External"/><Relationship Id="rId35" Type="http://schemas.openxmlformats.org/officeDocument/2006/relationships/hyperlink" Target="http://www.sec.gov/Archives/edgar/data/1661998/000119312524077930/d811189dex31.htm" TargetMode="External"/><Relationship Id="rId36" Type="http://schemas.openxmlformats.org/officeDocument/2006/relationships/hyperlink" Target="http://www.sec.gov/Archives/edgar/data/1661998/000119312524077930/d811189dex32.htm" TargetMode="External"/><Relationship Id="rId37" Type="http://schemas.openxmlformats.org/officeDocument/2006/relationships/hyperlink" Target="http://www.sec.gov/Archives/edgar/data/1661998/000119312520321448/d69248dex31.htm" TargetMode="External"/><Relationship Id="rId38" Type="http://schemas.openxmlformats.org/officeDocument/2006/relationships/hyperlink" Target="http://www.sec.gov/Archives/edgar/data/1661998/000119312524077930/d811189dex108.htm" TargetMode="External"/><Relationship Id="rId39" Type="http://schemas.openxmlformats.org/officeDocument/2006/relationships/hyperlink" Target="http://www.sec.gov/Archives/edgar/data/1661998/000119312524077930/d811189dex109.htm" TargetMode="External"/><Relationship Id="rId40" Type="http://schemas.openxmlformats.org/officeDocument/2006/relationships/hyperlink" Target="http://www.sec.gov/Archives/edgar/data/1661998/000119312524077930/d811189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2024-05-31T15:55:28Z</dcterms:created>
  <dcterms:modified xsi:type="dcterms:W3CDTF">2024-05-31T15:55:28Z</dcterms:modified>
</cp:coreProperties>
</file>