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26"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2600" w:right="1600" w:hanging="2579"/>
        <w:spacing w:after="0" w:line="336"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p>
      <w:pPr>
        <w:spacing w:after="0" w:line="169" w:lineRule="exact"/>
        <w:rPr>
          <w:sz w:val="24"/>
          <w:szCs w:val="24"/>
          <w:color w:val="auto"/>
        </w:rPr>
      </w:pPr>
    </w:p>
    <w:p>
      <w:pPr>
        <w:jc w:val="center"/>
        <w:ind w:left="3580"/>
        <w:spacing w:after="0"/>
        <w:rPr>
          <w:sz w:val="20"/>
          <w:szCs w:val="20"/>
          <w:color w:val="auto"/>
        </w:rPr>
      </w:pPr>
      <w:r>
        <w:rPr>
          <w:rFonts w:ascii="Times New Roman" w:cs="Times New Roman" w:eastAsia="Times New Roman" w:hAnsi="Times New Roman"/>
          <w:sz w:val="43"/>
          <w:szCs w:val="43"/>
          <w:b w:val="1"/>
          <w:bCs w:val="1"/>
          <w:color w:val="auto"/>
        </w:rPr>
        <w:t>Q32 Bio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47-3468154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660" w:space="280"/>
            <w:col w:w="3300"/>
          </w:cols>
          <w:pgMar w:left="320" w:top="1213" w:right="339" w:bottom="1440" w:gutter="0" w:footer="0" w:header="0"/>
          <w:type w:val="continuous"/>
        </w:sectPr>
      </w:pPr>
    </w:p>
    <w:tbl>
      <w:tblPr>
        <w:tblLayout w:type="fixed"/>
        <w:tblInd w:w="1760" w:type="dxa"/>
        <w:tblCellMar>
          <w:top w:w="0" w:type="dxa"/>
          <w:left w:w="0" w:type="dxa"/>
          <w:bottom w:w="0" w:type="dxa"/>
          <w:right w:w="0" w:type="dxa"/>
        </w:tblCellMar>
      </w:tblPr>
      <w:tr>
        <w:trPr>
          <w:trHeight w:val="21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830 Winter Street</w:t>
            </w:r>
          </w:p>
        </w:tc>
        <w:tc>
          <w:tcPr>
            <w:tcW w:w="2720" w:type="dxa"/>
            <w:vAlign w:val="bottom"/>
          </w:tcPr>
          <w:p>
            <w:pPr>
              <w:spacing w:after="0"/>
              <w:rPr>
                <w:sz w:val="18"/>
                <w:szCs w:val="18"/>
                <w:color w:val="auto"/>
              </w:rPr>
            </w:pPr>
          </w:p>
        </w:tc>
      </w:tr>
      <w:tr>
        <w:trPr>
          <w:trHeight w:val="232"/>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999-0232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QTTB</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2026, the registrant had 16,956,415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include the following, among others:</w:t>
      </w:r>
    </w:p>
    <w:p>
      <w:pPr>
        <w:spacing w:after="0" w:line="99" w:lineRule="exact"/>
        <w:rPr>
          <w:sz w:val="20"/>
          <w:szCs w:val="20"/>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we plan to address with bempikibart or other product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bempikibart, and our clinical trials of our lead candidate may not be successful.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 to our business relationships with our licensors, we could lose license rights that are important to our business.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economic downturns, inflation, changes in interest rates, natural disasters, public health crises, political crises, government shutdowns, geopolitical events or other macroeconomic conditions, which could have a material and adverse effect on our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 the supply and manufacture of our product candidates for our research, preclinical and clinical activities, and may do the same for commercial supplies of our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securities.</w:t>
      </w:r>
    </w:p>
    <w:p>
      <w:pPr>
        <w:spacing w:after="0" w:line="33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titled “Risk Factors” and the other information set forth in this Quarterly Report on Form 10-Q, including our consolidated financial statements and the related notes, as well as in other documents that we file with the U.S.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These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sustain profitability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cash runway,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and anticipated use of our existing cash, cash equivalents and marketable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scope or timing of the development of our product candidates;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our product candidates, including bempikibart, and our anticipated milestones and timing therefor;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market acceptance and adoption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patent protection for our product candidates and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against other companies developing similar products to ours;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executives and to attract and retain highly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against cyber-attacks, security breaches and other disruptions to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system of internal controls over financial reporting;</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macroeconomic conditions or market volatility resulting from global economic conditions or geopolitical developments, including fluctuating interest rates and inflation and capital market disruptions, changes in governmental agencies, government shutdowns, international tariffs, trade protection measures, public health crises, economic sanctions and potential economic slowdowns or recessions, or similar events;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 the supply and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laws and regulations, whether in the U.S. or foreign jurisdictions, and any changes thereto;</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except as otherwise required by applicable law,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 w:name="page4"/>
    <w:bookmarkEnd w:id="3"/>
    <w:p>
      <w:pPr>
        <w:ind w:firstLine="509"/>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Quarterly Report on Form 10-Q in the section titled “Risk Factors” and in our periodic filings with the SEC. Our SEC filings are available publicly on the SEC’s website at www.sec.gov. Given these risks and uncertainties, you should not place undue reliance on these forward-looking statements. Should one or more of the risks or uncertainties described in this Quarterly Report on Form 10-Q, or should underlying assumptions prove incorrect, actual results and plans could differ materially from those expressed in any forward-looking statements. We qualify all of our forward-looking statements by these cautionary statements.</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on Form 10-Q, and we believe these industry publications and third-party research, surveys and studies are reliable.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operating leases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restricted cash equivalents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Venture debt, current portion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Venture debt, net of current portion</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w:t>
            </w:r>
          </w:p>
        </w:tc>
        <w:tc>
          <w:tcPr>
            <w:tcW w:w="2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400,000,000 shares authorized,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14,629,463 and 12,858,047 shares issued and outstanding at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(204,993)</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(12,228)</w:t>
            </w:r>
          </w:p>
        </w:tc>
      </w:tr>
      <w:tr>
        <w:trPr>
          <w:trHeight w:val="210"/>
        </w:trPr>
        <w:tc>
          <w:tcPr>
            <w:tcW w:w="58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9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top w:val="single" w:sz="8" w:color="CFF0FC"/>
            </w:tcBorders>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19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(11,031)</w:t>
            </w:r>
          </w:p>
        </w:tc>
      </w:tr>
      <w:tr>
        <w:trPr>
          <w:trHeight w:val="20"/>
        </w:trPr>
        <w:tc>
          <w:tcPr>
            <w:tcW w:w="5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22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(0.90)</w:t>
            </w:r>
          </w:p>
        </w:tc>
      </w:tr>
      <w:tr>
        <w:trPr>
          <w:trHeight w:val="197"/>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shares—basic and diluted</w:t>
            </w:r>
          </w:p>
        </w:tc>
        <w:tc>
          <w:tcPr>
            <w:tcW w:w="19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14,095,371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12,197,615</w:t>
            </w:r>
          </w:p>
        </w:tc>
        <w:tc>
          <w:tcPr>
            <w:tcW w:w="100" w:type="dxa"/>
            <w:vAlign w:val="bottom"/>
            <w:tcBorders>
              <w:top w:val="single" w:sz="8" w:color="CFF0FC"/>
            </w:tcBorders>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-788035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Q32 BIO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 (DEFICIT)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40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4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12,197,615</w:t>
            </w:r>
          </w:p>
        </w:tc>
        <w:tc>
          <w:tcPr>
            <w:tcW w:w="11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240,487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(234,814)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(11,031)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12,197,615</w:t>
            </w:r>
          </w:p>
        </w:tc>
        <w:tc>
          <w:tcPr>
            <w:tcW w:w="2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(245,845)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820" w:type="dxa"/>
            <w:vAlign w:val="bottom"/>
          </w:tcPr>
          <w:p>
            <w:pPr>
              <w:spacing w:after="0"/>
              <w:rPr>
                <w:sz w:val="24"/>
                <w:szCs w:val="24"/>
                <w:color w:val="auto"/>
              </w:rPr>
            </w:pPr>
          </w:p>
        </w:tc>
        <w:tc>
          <w:tcPr>
            <w:tcW w:w="240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4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12,858,047</w:t>
            </w:r>
          </w:p>
        </w:tc>
        <w:tc>
          <w:tcPr>
            <w:tcW w:w="11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(204,993)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and pre-funded</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Registered Direct Offering, net of issuance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1,666,679</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common stock from RSU vesting</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104,737</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(7,609)</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14,629,463</w:t>
            </w:r>
          </w:p>
        </w:tc>
        <w:tc>
          <w:tcPr>
            <w:tcW w:w="2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(212,602)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-2039620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-2039620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-2039620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-2039620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 of equity investment</w:t>
            </w: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CVR liability</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(12,482)</w:t>
            </w:r>
          </w:p>
        </w:tc>
        <w:tc>
          <w:tcPr>
            <w:tcW w:w="0" w:type="dxa"/>
            <w:vAlign w:val="bottom"/>
          </w:tcPr>
          <w:p>
            <w:pPr>
              <w:spacing w:after="0"/>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venture debt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96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Registered Direct Offering, net of issuance costs</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7760" w:type="dxa"/>
            <w:vAlign w:val="bottom"/>
            <w:tcBorders>
              <w:right w:val="single" w:sz="8" w:color="CFF0FC"/>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restricted cash and</w:t>
            </w:r>
          </w:p>
        </w:tc>
        <w:tc>
          <w:tcPr>
            <w:tcW w:w="9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(12,482)</w:t>
            </w:r>
          </w:p>
        </w:tc>
        <w:tc>
          <w:tcPr>
            <w:tcW w:w="0" w:type="dxa"/>
            <w:vAlign w:val="bottom"/>
          </w:tcPr>
          <w:p>
            <w:pPr>
              <w:spacing w:after="0"/>
              <w:rPr>
                <w:sz w:val="1"/>
                <w:szCs w:val="1"/>
                <w:color w:val="auto"/>
              </w:rPr>
            </w:pPr>
          </w:p>
        </w:tc>
      </w:tr>
      <w:tr>
        <w:trPr>
          <w:trHeight w:val="198"/>
        </w:trPr>
        <w:tc>
          <w:tcPr>
            <w:tcW w:w="7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9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76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960" w:type="dxa"/>
            <w:vAlign w:val="bottom"/>
            <w:vMerge w:val="restart"/>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51,398</w:t>
            </w:r>
          </w:p>
        </w:tc>
        <w:tc>
          <w:tcPr>
            <w:tcW w:w="160" w:type="dxa"/>
            <w:vAlign w:val="bottom"/>
            <w:shd w:val="clear" w:color="auto" w:fill="CFF0FC"/>
          </w:tcPr>
          <w:p>
            <w:pPr>
              <w:spacing w:after="0"/>
              <w:rPr>
                <w:sz w:val="16"/>
                <w:szCs w:val="16"/>
                <w:color w:val="auto"/>
              </w:rPr>
            </w:pPr>
          </w:p>
        </w:tc>
        <w:tc>
          <w:tcPr>
            <w:tcW w:w="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Borders>
              <w:right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at end of period</w:t>
            </w:r>
          </w:p>
        </w:tc>
        <w:tc>
          <w:tcPr>
            <w:tcW w:w="960" w:type="dxa"/>
            <w:vAlign w:val="bottom"/>
            <w:vMerge w:val="continue"/>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76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Supplemental disclosure of non-cash operating, investing and</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on venture debt</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Deferred transaction costs included in accrued expenses and other current liabilities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-2283460</wp:posOffset>
            </wp:positionV>
            <wp:extent cx="939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-2283460</wp:posOffset>
            </wp:positionV>
            <wp:extent cx="939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-624840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-608330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Q32 Bio Inc. (“Q32” or the “Company”) is a clinical stage biotechnology company focused on developing innovative therapies for alopecia areata (“AA”) and other autoimmune and inflammatory diseases. The Company is advancing bempikibart (ADX-914), a fully human anti-IL-7Rα antibody that re-regulates adaptive immune function, for the treatment of AA in an ongoing Phase 2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the Company entered into a definitive agreement for the issuance and sale of 1,666,679 shares of common stock and pre-funded warrants to purchase up to 1,025,654 shares of common stock at an offering price of $3.90 per share of common stock, which was the closing price per share of the Company’s common stock on Nasdaq on February 13, 2026, and $3.8999 per pre-funded warrant, which represents the price per share for the common stock less the $0.0001 per share exercise price for each pre-funded warrant. The issuance of the shares was completed on February 19, 2026. The Company received net proceeds of $10.4 million pursuant to the registered direct offering (see Note 3 for more details surrounding the accounting for the pre-funded warrants).</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securities referenced above were offered pursuant to a shelf registration statement on Form S-3 (333-286491) that was filed with the SEC on April 11, 2025, and was declared effective by the SEC on April 21,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ATM Offering Program</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On March 27, 2026,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(the “Sales Agent”), with respect to an at-the-market (“ATM”) offering program pursuant to which the Company may offer and sell, from time to time at its sole discretion, shares of its common stock, par value $0.0001 per share (the “Shares”), through the Sales Agent. The Shares to be offered and sold under the Sales Agreement, if any, will be offered and sold pursuant to the Company’s shelf registration statement on Form S-3 (File No. 333-286491), which was filed with the Securities and Exchange Commission (“SEC”) on April 11, 2025 and declared effective by the SEC on April 21, 2025. The Company filed a prospectus supplement with the SEC on March 27, 2026, pursuant to which the Company may offer and sell Shares having an aggregate offering price of up to $14.2 million pursuant to the Sales Agreement. There were no shares of common stock sold pursuant to the ATM during the three months ended March 31, 2026. On March 31, 2026, there remained $14.2 million of common stock available for sale under the ATM. Subsequent to March 31, 2026, the Company sold 2,326,952 shares of common stock and received net proceeds of $13.8 million pursuant to the ATM, and the Company also filed an additional prospectus supplement with the SEC on April 24, 2026, pursuant to which the Company may offer and sell additional Shares having an aggregate offering price of up to $75 million pursuant to the Sales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risks associated with completing preclinical studies and clinical trials, obtaining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will need to obtain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Since its inception, the Company’s operations have been focused on organizing and staffing, business planning, raising capital, establishing the Company’s intellectual property portfolio and performing research and development of its product candidates, programs and platform. The Company has primarily funded its operations with proceeds from the sale of convertible preferred stock, convertible notes, venture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480"/>
        <w:spacing w:after="0" w:line="282" w:lineRule="auto"/>
        <w:rPr>
          <w:sz w:val="20"/>
          <w:szCs w:val="20"/>
          <w:color w:val="auto"/>
        </w:rPr>
      </w:pPr>
      <w:r>
        <w:rPr>
          <w:rFonts w:ascii="Times New Roman" w:cs="Times New Roman" w:eastAsia="Times New Roman" w:hAnsi="Times New Roman"/>
          <w:sz w:val="18"/>
          <w:szCs w:val="18"/>
          <w:color w:val="auto"/>
        </w:rPr>
        <w:t>debt, the Company’s reverse merger (the “Merger”) with Homology Medicines, Inc. (“Homology”) and accompanying Pre-Closing Financing and its former collaboration arrangement with Horizon.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Financial Accounting Standards Board (“FASB”) Accounting Standards Update (“ASU”) 2014-15,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 (Subtopic 205-40)</w:t>
      </w:r>
      <w:r>
        <w:rPr>
          <w:rFonts w:ascii="Times New Roman" w:cs="Times New Roman" w:eastAsia="Times New Roman" w:hAnsi="Times New Roman"/>
          <w:sz w:val="18"/>
          <w:szCs w:val="18"/>
          <w:color w:val="auto"/>
        </w:rPr>
        <w:t>, the Company has evaluated whether there are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considered in the 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an accumulated deficit of $212.6 million and cash and cash equivalents of $50.8 million. The Company expects that its cash and cash equivalents will be sufficient to fund its operating expenditures and capital expenditure requirements necessary to advance its research efforts and clinical trials for at least one year from the date of issuance of these unaudited condensed consolidated financial statements.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operating losses since its inception. During the three months ended March 31, 2026, the Company incurred a net loss of $7.6 million. The Company expects its operating losses and negative operating cash flows to continue into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7" w:lineRule="exact"/>
        <w:rPr>
          <w:sz w:val="20"/>
          <w:szCs w:val="20"/>
          <w:color w:val="auto"/>
        </w:rPr>
      </w:pPr>
    </w:p>
    <w:p>
      <w:pPr>
        <w:ind w:left="520" w:right="7680" w:hanging="512"/>
        <w:spacing w:after="0" w:line="377"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conformity with GAAP and pursuant to the rules and regulations of the U.S. Securities and Exchange Commission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consolidated financial statements and the notes thereto for the year ended December 31, 2025, included in the Company's Annual Report on Form 10-K filed with the SEC on March 10, 2026.</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management, the accompanying unaudited condensed consolidated financial statements contain all adjustments, including those adjustments that are normal and recurring in nature, which are necessary for a fair statement of the Company’s financial position as of March 31, 2026, and consolidated results of operations for the three months ended March 31, 2026 and 2025, and cash flows for the three months ended March 31, 2026 and 2025. The results of operations for the three months ended March 31, 2026 are not necessarily indicative of the results of operations that may be expected for the year ending December 31, 2026 or for any future period.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wholly-owned subsidiaries. All intercompany balances and transactions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unaudited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and assumptions reflected in these unaudited condensed consolidated financial statements include, but are not limited to, the fair value of the common stock and convertible notes prior to the effective date of the Merger, the fair value of CVR liability, and the prepaid and accrued research and development expenses. The Company utilizes certain estimates to record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expenses relating to research and development contracts. These contract estimates, which are primarily related to the length of service of each contract and the amount of service provided as of each measurement date, are determined by the Company based on input from internal project management, as well as from service providers. Estimates are periodically reviewed considering changes in circumstances, facts and historical experience. Actual results may differ from the Company’s estimates.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credit risk primarily consist of cash, cash equivalents, restricted cash and restricted cash equivalents. The Company maintains its cash, cash equivalents, restricted cash and restricted cash equivalents balances with accredited financial institutions and, consequently, the Company does not believe it is subject to unusual credit risk beyond the normal credit risk associated with commercial banking relationships.</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cash management limits investment to investment-grade securities with the objective to preserve capital and to maintain liquidity until the funds can be used in business operations. The Company maintains its cash in bank deposit accounts that are Federal Deposit Insurance Corporation (“FDIC”) insured up to $250,000. At times, the Company’s bank accounts may exceed the federal insurance limit.</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dependent on contract development and manufacturing organizations (“CDMOs”) to supply products for research and development activities in its programs. In particular, the Company relies and expects to continue to rely on a small number of manufacturers to supply it with its requirements for the active pharmaceutical ingredients, other raw materials and formulated drugs related to these programs. These programs could be adversely affected by a significant interruption in the supply of active pharmaceutical ingredients, other raw materials and formulated drugs. The Company is also dependent on contract research organizations (“CROs”) which provide services related to the research and development activities in its programs.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loss as well as other changes in stockholders’ equity (deficit) that result from transactions and economic events other than those with stockholders.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Restricted Cash Equivalents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 maturities of three months or less at the date of purchase to be cash equivalents. Cash equivalents are comprised of money market accounts invested in U.S. Treasury securities.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Restricted cash and restricted cash equivalents are comprised of deposits held by financial institutions as collateral for the Company’s venture debt and used to collateralize letters of credit related to the Company’s lease arrangements.</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includes the restricted cash and restricted cash equivalents balance together with its cash and cash equivalents when reconciling beginning-of-period and end-of-period total amounts shown on the consolidated statements of cash flows.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50,751</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65,483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restricted cash and restricted</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51,398</w:t>
            </w:r>
          </w:p>
        </w:tc>
        <w:tc>
          <w:tcPr>
            <w:tcW w:w="4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66,130</w:t>
            </w: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deficit as a reduction of additional paid-in capital generated as a result of the transaction. Should the in-process equity financing be abandoned, the deferred transaction costs would be expensed immediately as a charge to operating expenses in the condensed consolidated statements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contract inception. If a contract is or contains a lease, lease classification is determined at lease commencement, which represents the date at which the underlying asset is made available for use by the Company. The Company’s lease terms are generally measured at the respective lease’s noncancelable term and exclude any optional extension terms as the Company is not reasonably certain to exercise such options. The Company elected the short-term lease exemption and therefore does not recognize lease liabilities and right of use assets for lease arrangements with original lease terms of twelve months or less.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under a lease arrangement. Lease liabilities are measured as the present value of fixed lease payments, discounted using an incremental borrowing rate, as interest rates implicit in the Company’s lease arrangements are generally not readily determinable. The Company elected the practical expedient to not separate lease and non-lease components for its real estate leases and therefore both are considered when determining the lease payments in a lease arrangement. Variable lease costs are expensed as incurred.</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incremental borrowing rate represents the interest rate at which the Company could borrow a fully collateralized amount equal to the lease payments, over a similar term, in a similar economic environment. The Company determines the incremental borrowing rate at lease commencement, generally using a synthetic credit rating based on the Company’s financial position and negative cash flows, factoring in adjustments for additional risks based on the Company’s economic condition, a survey of comparable companies with similar credit and financial profiles, as well as additional market risks, as may be applicable.</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its lease term. Right-of-use assets are initially measured as the associated lease liability, adjusted for prepaid rent and tenant incentives. 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agreement and the increase in lease payments is commensurate with the additional right of use. The Company assesses its right-of-use assets for impairment consistent with its policy for impairment of long-lived assets held and used in operations.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events occurring after the date of its consolidated balance sheet through the date these condensed consolidated financial statements were issued (see Note 19).</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(“ASU 2023-09”). ASU 2023-09 provides more transparency about income tax information through improvements to income tax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disclosures primarily related to the rate reconciliation and income taxes paid information. For public companies, the amendments are effective for annual periods beginning after December 15, 2024, and should be applied prospectively. The Company adopted this standard as of January 1, 2025. The Company determined that the effects of adopting the amendments in ASU 2023-09 had no impact on its consolidated financial position and the results of its operations and additional required disclosures have been included.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Disclosures (Subtopic 220-40)—Disaggregation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(“ASU 2024-03”) which is intended to improve disclosures about a public business entity's expenses, primarily through additional disaggregation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statement expenses. ASU 2024-03 is effective for annual periods beginning after December 15, 2026, and interim periods beginning after December 15, 2027, with early adoption permitted. The amendments in ASU 2024-03 should be applied either prospectively to financial statements issued for reporting periods after the effective date or retrospectively to any or all prior periods presented in the financial statements. The Company is currently evaluating ASU 2024-03 to determine the impact on the Company's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Pre-Funded Warrants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as part of the registered direct offering, the Company issued pre-funded warrants to purchase up to 1,025,654 shares of its common stock to a certain institutional investor at a price of $3.8999 per pre-funded warrant for gross proceeds of approximately $4.0 million. The pre-funded warrants have an exercise price of $0.0001 per share and may be exercised at any time after the original issuance date. A holder of a pre-funded warrant may not exercise such pre-funded warrant if the holder, together with its affiliates, would beneficially own more than 9.99% of the number of shares of the Company’s common stock outstanding immediately after giving effect to such exercise. As of March 31, 2026, the pre-funded warrants have not been exercised.</w:t>
      </w:r>
    </w:p>
    <w:p>
      <w:pPr>
        <w:spacing w:after="0" w:line="1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classified the pre-funded warrants as a component of permanent equity in its condensed consolidated balance sheet as they are freestanding financial instruments that are immediately exercisable, does not embody an obligation for the Company to repurchase its own shares, cannot require cash settlement and permit the holder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any time after the original issuance date of the pre-funded warrants.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Asset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November 28, 2025, the Company entered into an Asset Purchase Agreement (the “Asset Purchase Agreement”) with Q32 Bio Operations Inc., a wholly-owned subsidiary of the Company (“Q32 Bio Operations” and, together with the Company, the “Seller”), and Akebia Therapeutics, Inc. (“Akebia”) pursuant to which the Seller sold to Akebia substantially all of the Seller’s assets related to the research, development, manufacture and commercialization of ADX-097 (the “ADX-097 Asset Sale”). As consideration for the ADX-097 Asset Sale, the Company (i) received an upfront payment of $7.0 million on November 28, 2025, and (ii) will receive a payment of $3.0 million on the six-month anniversary of the closing, or May 28, 2026. The Company will also receive a near-term milestone payment of $2.0 million upon the earlier of achievement of the first milestone under the Asset Purchase Agreement or December 31, 2026. In addition to these payments, the Company is eligible to receive up to $580.0 million upon the achievement of additional specified milestones, including up to $92.5 million related to development and regulatory milestones and up to $487.5 million related to commercial milestones. The Company is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(defined in Note 10) was amended and restated and all of the Company’s rights and obligations thereunder were transferred to Akebia.</w:t>
      </w:r>
    </w:p>
    <w:p>
      <w:pPr>
        <w:spacing w:after="0" w:line="16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asset sale and recognized $11.7 million, comprised of $12.0 million in guaranteed upfront and near-term milestones less certain contractual offsets, as a gain on sale of asset included in other income (expense) in the consolidated statements of operations for the year ended December 31, 2025. Any future milestones and royalties will be recognized when achieved.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prepaid expenses and other current assets, accounts payable, and accrued expenses and other current liabilities approximate their fair value due to their short-term nature. The carrying value of the Company’s term loan as of March 31, 2026 (see Note 11) approximated fair value based on interest rates currently available to the Company.</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tables below present information about the Company’s assets that are regularly measured and carried at fair value on a recurring basis at March 31, 2026 and December 31, 2025 and indicate the level within the fair value hierarchy of the valuation techniques the Company utilized to determine such fair value, which is described further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as of March 31, 2026 are summarized as follows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jc w:val="right"/>
              <w:ind w:right="3213"/>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shd w:val="clear" w:color="auto" w:fill="CFF0FC"/>
          </w:tcPr>
          <w:p>
            <w:pPr>
              <w:jc w:val="right"/>
              <w:ind w:right="3213"/>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-316865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-316865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as of December 31, 2025 are summarized as follows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jc w:val="right"/>
              <w:ind w:right="3213"/>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shd w:val="clear" w:color="auto" w:fill="CFF0FC"/>
          </w:tcPr>
          <w:p>
            <w:pPr>
              <w:jc w:val="right"/>
              <w:ind w:right="3213"/>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-316230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11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identical securities, which represent a Level 1 measurement within the fair value hierarchy.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CVR liability</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25, 2024, the effective date of the Merger, each person who as of immediately prior to the effective time of the Merger was a stockholder of record of Homology or had the right to receive Homology’s common stock received a contractual contingent value right (“CVR”), issued by Homology subject to and in accordance with the terms and conditions of a Contingent Value Rights Agreement between Homology and the rights agent (the “CVR Agreement”), representing the contractual right to receive cash payments from the combined company upon the receipt of certain proceeds from a disposition of Homology’s pre-merger assets, calculated in accordance with the CVR Agreement.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concluded that the CVR liability was a derivative liability and was accounted for at fair value. The fair value of the CVR liability was based on significant unobservable inputs, which represent Level 3 measurements within the fair value hierarchy. For the portion of the CVR liability that was related to Homology's equity interest in OXB (US) LLC, the Company utilized a monte carlo simulation model, also known as a probability simulation, to estimate the fair value of the CVR liability at December 31, 2024. This model requires the use of estimates and assumptions including estimated future revenues and discount rates. Upon Oxford Biomedica (US), Inc.'s exercise of its option to cause the Company to sell and transfer to Oxford Biomedica (US), Inc. all of the Company’s equity ownership interest in OXB (US) LLC in June 2025, the Company received proceeds from Oxford Biomedica (US), Inc. and then remitted those proceeds to the CVR holders, and subsequently removed the associated CVR liability and recorded $0.4 million for the change in estimated fair value during the twelve months ended December 31, 2025 in other income (expense), net.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5" w:name="page16"/>
    <w:bookmarkEnd w:id="15"/>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portion of the CVR liability related to Homology's HMI-103, HMI-204, capsids and AAVHSC platform, the Company's fair value assessment includes judgments around the probability of progressing the in-process research and development assets. As of March 31, 2026, the Company's assessment resulted in a CVR liability of zero.</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between Level 1, Level 2 and Level 3 measurements. There have been no impairments of the Company’s assets measured and carried at fair value during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 in Equity Securities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part of the Merger, the Company obtained Homology's 20% equity interest in OXB (US) LLC, an AAV vector process development and manufacturing services company. At that time, the Company had significant influence over, but did not control, OXB (US) LLC through its noncontrolling representation on OXB (US) LLC’s board of directors and the Company’s equity interest in OXB (US) LLC. Accordingly, the Company did not consolidate the financial statements of OXB (US) LLC and accounted for its investment using the equity method of accounting.</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May 2024, as a result of transactions by OXB (US) LLC, the Company’s investment was diluted to a 10% equity interest in OXB (US) LLC and the Company no longer had the ability to exert significant influence over the operating and financial policies of OXB (US) LLC, therefore the Company discontinued the equity method of accounting for the investment in OXB (US) LLC and determined the remaining investment to be an equity security accounted for in accordance with FASB ASC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xml:space="preserve"> (“ASC 321”). The Company recorded the equity instrument at fair value and applied the measurement alternative under ASC 321 such that the Company would not change the amount recorded for the equity instrument unless the Company identified observable price changes in orderly transactions for the identical or similar investment of the same issuer or the equity instrument was otherwise deemed to be impaired.</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March 1, 2025, Oxford Biomedica (US), Inc. exercised its option to cause the Company to sell and transfer to Oxford Biomedica (US), Inc. all of the Company’s equity ownership interest in OXB (US) LLC. In June 2025, the Company finalized the sale of its 10% equity interest in OXB (US) LLC to Oxford Biomedica (US), Inc. and received $2.5 million from Oxford Biomedica (US), Inc., calculated using the Company's pro rata share of OXB (US) LLC (10%), times a predetermined multiple of revenue for the immediately preceding 12-month period increased by OXB (US) LLC's cash balance and decreased by OXB (US) LLC's debt balance as of the exercise date, and reduced the associated equity investment on its condensed consolidated balance sheet to zero.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approximately $0.1 million in each period. No impairment losses occurred in the three months ended March 31, 2026 and 2025. The Company had no losses on disposal of fixed assets for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under Asset Purchase Agreement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Payroll tax credit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and development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 and other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ongoing clinical studies in various clinical trial stages. Its most significant contracts relate to agreements with CROs for clinical trials and preclinical studies and CDMOs for manufacturing which the Company enters into in the normal course of business. The contracts with CROs and CDMOs are generally cancellable, with notice, at the Company’s 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2021 the Company entered into a long-term operating lease agreement for its current corporate headquarters in Waltham, Massachusetts (“headquarters lease”). The headquarters lease provides approximately 15,000 square feet for general office use and research lab facilities. The headquarters lease commencement date was January 1, 2022 and the lease term ends in December 2031. The Company has an option to extend the headquarters lease term for an additional five years. The initial rent for the office space is approximately $1.0 million per year, increasing every year by 3% for total aggregate payment of $11.1 million. Upon the commencement date, the Company established a right-of-use asset and lease liability on the condensed consolidated balance sheet. As part of the agreement, the Company arranged for a letter of credit for $0.6 million as security for the headquarters lease, which is considered restricted cash and included as restricted cash and restricted cash equivalents in the condensed consolidated balance sheet. The Company received $0.4 million in a tenant improvement allowance that was applied against the right-of-use asset.</w:t>
      </w:r>
    </w:p>
    <w:p>
      <w:pPr>
        <w:spacing w:after="0" w:line="19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headquarters lease had a weighted-average remaining lease term of 5.75 years and weighted average incremental borrowing rate of 7.5%.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Amounts reported in the unaudited condensed consolidated balance sheet for leases where the Company is the lessee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were as follows (in thousands):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-882650</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-864870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-882650</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operating lease costs for the three months ended March 31, 2026 and 2025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lease costs</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7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5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Variable lease costs were primarily related to operating expenses, taxes and insurance associated with the operating lease,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unaudited condensed consolidated statements of operations. Future minimum lease payments under non-cancelable lease agreement as of March 31, 2026 and a reconciliation to the carrying amount of the lease liabilities presented in the consolidated balance sheet are as follows (in thousands):</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Minimum</w:t>
            </w: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Rental</w:t>
            </w: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8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Lease liability, current portion</w:t>
            </w:r>
          </w:p>
        </w:tc>
        <w:tc>
          <w:tcPr>
            <w:tcW w:w="1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-899160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-616585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University of Colorado</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August 2017, the Company entered into an exclusive license agreement, as amended in February 2018, September 2018, and April 2019 (the “Colorado License Agreement”), with The Regents of the University of Colorado (“Colorado”), pursuant to which the Company obtained worldwide, royalty-bearing, sublicensable licenses under certain patents and know-how owned by Colorado and Medical University of South Carolina (“MUSC”) relating to the research, development and commercialization of ADX-097. The licenses granted to the Company are exclusive with respect to certain patent families and know-how and non-exclusive with certain other patent families and know-how. The licenses granted to the Company are also subject to certain customary retained rights of Colorado and MUSC and rights of the United States government owing to federal funding giving rise to inventions covered by the licensed patents. The Company agreed to use commercially reasonable efforts to develop, manufacture and commercialize ADX-097, including by using commercially reasonable efforts to achieve specified development and regulatory milestones by specified dates.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The Company’s obligation to pay royalties to Colorado commences, on a licensed product-by-licensed product and country-by-country basis, from the first commercial sale of a licensed product in any country and expires on the later of (a) the last to expire valid claim within the licensed patents covering such licensed product in such country, and (b) 20 years following the effective date of the Colorado License Agreement, or April 2037 (the “Royalty Term”).</w:t>
      </w:r>
    </w:p>
    <w:p>
      <w:pPr>
        <w:spacing w:after="0" w:line="18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was amended and restated and all of the Company’s rights and obligations thereunder were transferred to Akebia.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Bristol-Myers Squibb Company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2019, the Company entered into a license agreement, as amended in August 2021 and July 2022 (the “BMS License Agreement”) with Bristol-Myers Squibb Company (“BMS”), pursuant to which the Company obtained sublicensable licenses from BMS to research, develop and commercialize licensed products, including bempikibart, for any and all uses worldwide. The licenses granted to the Company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the Company is prohibited from engaging in certain clinical development or commercialization of any antibody other than a licensed compound with the same mechanism of action until the earlier of the expiration of Q32’s obligation to pay BMS royalties or September 2029.</w:t>
      </w:r>
    </w:p>
    <w:p>
      <w:pPr>
        <w:spacing w:after="0" w:line="19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In consideration for the license, the Company made an upfront payment to BMS of $8 million, issued 318,278 Series A preferred shares to BMS and agreed to use commercially reasonable efforts to develop and commercialize at least one licensed product in key geographic markets. In addition, the Company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w:t>
      </w:r>
    </w:p>
    <w:p>
      <w:pPr>
        <w:spacing w:after="0" w:line="3" w:lineRule="exact"/>
        <w:rPr>
          <w:sz w:val="20"/>
          <w:szCs w:val="20"/>
          <w:color w:val="auto"/>
        </w:rPr>
      </w:pPr>
    </w:p>
    <w:p>
      <w:pPr>
        <w:ind w:right="180" w:firstLine="8"/>
        <w:spacing w:after="0" w:line="255"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Company’s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(Royalty Term). If the Company undergoes a change of control prior to certain specified phase of development, the development and milestone payments are subject to increase by a low double digit percentage and the royalty rates are subject to increase by a low sub single digit percentage.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the Company fails to meet its diligence obligations under the BMS License Agreement, for the Company’s insolvency, or if the Company or its affiliates challenges the validity, scope, enforceability, or patentability of any of the licensed patents. The Company may terminate the BMS License Agreement for any reason upon prior written notice to BMS, with a longer notice period if a licensed product has received regulatory approval. If the BMS Agreement is terminated for the Company’s material breach, BMS will regain rights to bempikibart and the Company must grant BMS an exclusive license under the Company’s patent rights covering bempikibart, subject to a low single digit percentage royalty on net sales of bempikibart payable to the Company by BMS</w:t>
      </w:r>
    </w:p>
    <w:p>
      <w:pPr>
        <w:spacing w:after="0" w:line="1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made a $4.0 million development milestone payment to BMS and recorded it as research and development expenses. As of March 31, 2026, no further events have occurred that would require payment of milestones, royalties or sublicense fees.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The Company accounts for estimated losses with respect to legal proceedings and claims when such losses are probable and reasonably estimable. Legal costs associated with these matters are expensed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Arrangements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certain of its investors, stockholders, employees, officers, and directors (collectively, the “Indemnified Parties”) for certain events or occurrences while the Indemnified Parties are, or were serving, at its request in such capacity. The maximum potential amount of future payments the Company could be required to make under these indemnification agreements is unlimited; however, the Company has an Executive Liability insurance policy that limits its exposure and enables it to recover a portion of any future amounts paid up to $5.0 million.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Parties for losses suffered or incurred by the Indemnified Parties,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8" w:lineRule="exact"/>
        <w:rPr>
          <w:sz w:val="20"/>
          <w:szCs w:val="20"/>
          <w:color w:val="auto"/>
        </w:rPr>
      </w:pPr>
    </w:p>
    <w:p>
      <w:pPr>
        <w:ind w:right="10180" w:firstLine="8"/>
        <w:spacing w:after="0" w:line="378"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Venture Debt</w:t>
      </w: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Loan and Security Agreement, as amended in June 2022, August 2022, December 2022, April 2023, July 2023, November 2023, March 2024 and July 2024, with Silicon Valley Bank, a California corporation (the “Loan Agreement”) for a lending facility of up to $25.0 million. The Company received $5.0 million upon execution of the Loan Agreement which it repaid in July 2023, a $5.5 million term loan advance in July 2023 and a $7.0 million term loan advance in March 2024. The Company no longer has the ability to draw down any additional loan advances. The term loan bears interest at an annual rate equal to the greater of the prime rate minus 0.25% or 8.00%. The Loan Agreement provided for interest-only payments until July 1, 2025, followed by 24 equal monthly payments of principal plus interest. The loan matures on July 1, 2027. In addition, the Company paid a fee of $0.1 million upon closing and is required to pay a fee of 3.5% of the aggregate amount of advances under the Loan Agreement at maturity. At its option, the Company may elect to prepay all or a portion of the outstanding advances by paying the principal balance, and all accrued and unpaid interest, and a prepayment premium. In connection with the Loan Agreement, the Company granted the lender a security interest in all of its personal property now owned or hereafter acquired, excluding intellectual property (but including the rights to payment and proceeds from the sale, licensing or disposition of intellectual property), and a negative pledge on intellectual property. The Loan Agreement also contains certain events of default, representations, warranties and non-financial covenants of the Company. If the Company fails to make payments when due or breaches any operational covenant or has any event of default, this could have a material adverse effect on its business and financial condition. The Company was in compliance with all covenants at March 31, 2026.</w:t>
      </w:r>
    </w:p>
    <w:p>
      <w:pPr>
        <w:spacing w:after="0" w:line="19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conjunction with the Loan Agreement, in December 2020, the Company issued warrants to purchase 7,988 shares of common stock to the lender at a per share price of $6.87 with a maximum contractual term of 10 years and in July 2023, warrants to purchase 10,156 shares of common stock to the lender at a per share price of $7.50 with a maximum contractual term of 10 years. The warrants had a de minimis total relative fair value at the time of issuance. Pursuant to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warrants were classified as equity and were initially measured at fair value. Subsequent changes to fair value will not be recognized so long as the instrument continues to be equity classified.</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Interest expense was $0.2 million and $0.3 million for the three months ended March 31, 2026 and 2025, respectively. The effective rate on the Loan Agreement, including the amortization of the debt discount and issuance costs was 9.04% and 9.45%,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respectively, at each of March 31, 2026 and December 31, 2025. The components of the long-term debt balance are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term 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7,813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9,375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8,178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9,708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(6,235)</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1,939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3,473</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Restated Certificate of Incorporation, as amended, authorized the Company to issue 400,000,000 shares of common stock, $0.0001 par value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6140" w:type="dxa"/>
            <w:vAlign w:val="bottom"/>
          </w:tcPr>
          <w:p>
            <w:pPr>
              <w:spacing w:after="0"/>
              <w:rPr>
                <w:sz w:val="15"/>
                <w:szCs w:val="15"/>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8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91"/>
        </w:trPr>
        <w:tc>
          <w:tcPr>
            <w:tcW w:w="6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available for future issuance under the 2024 Stock</w:t>
            </w:r>
          </w:p>
        </w:tc>
        <w:tc>
          <w:tcPr>
            <w:tcW w:w="12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2,130,724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1,997,963</w:t>
            </w:r>
          </w:p>
        </w:tc>
        <w:tc>
          <w:tcPr>
            <w:tcW w:w="80" w:type="dxa"/>
            <w:vAlign w:val="bottom"/>
            <w:shd w:val="clear" w:color="auto" w:fill="CFF0FC"/>
          </w:tcPr>
          <w:p>
            <w:pPr>
              <w:spacing w:after="0"/>
              <w:rPr>
                <w:sz w:val="20"/>
                <w:szCs w:val="20"/>
                <w:color w:val="auto"/>
              </w:rPr>
            </w:pPr>
          </w:p>
        </w:tc>
      </w:tr>
      <w:tr>
        <w:trPr>
          <w:trHeight w:val="198"/>
        </w:trPr>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 2024 Employee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242,813</w:t>
            </w:r>
          </w:p>
        </w:tc>
        <w:tc>
          <w:tcPr>
            <w:tcW w:w="80" w:type="dxa"/>
            <w:vAlign w:val="bottom"/>
          </w:tcPr>
          <w:p>
            <w:pPr>
              <w:spacing w:after="0"/>
              <w:rPr>
                <w:sz w:val="20"/>
                <w:szCs w:val="20"/>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stock option exercises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599,326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317,213</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pre-funded warrants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1,025,654</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warrants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6,409,323</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4,762,664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jc w:val="center"/>
        <w:ind w:right="848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2017 Stock Option and Grant Plan</w:t>
      </w: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Legacy Q32 adopted the 2017 Stock Option and Grant Plan and subsequent amendments (the “2017 Plan”) with 1,246,290 shares of common stock reserved for issuance to employees, directors, and consultants. The 2017 Plan allowed for the grant of incentive stock options, non-statutory stock options, restricted stock awards, restricted stock unit awards and other stock awards. As of March 31, 2026, there were no additional shares available for future grant under the 2017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March 15, 2024, Homology’s board of directors adopted and subsequently, Homology’s stockholders approved the Q32 Inc. 2024 Stock Option and Incentive Plan (the “2024 Plan”), which became effective upon the closing of the Merger. The 2024 Plan replaced the 2017 Plan, as well as the Homology 2015 Stock Incentive Plan (the “Homology 2015 Plan”), and the Homology 2018 Plan (together with the Homology 2015 Plan, the “Homology Incentive Plans”). Upon effectiveness of the 2024 Plan, the Company ceased granting new awards under the 2017 Plan and the Homology Incentive Plans.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2024 Plan provides for the grant of incentive stock options, nonqualified stock options, restricted stock awards, restricted stock units, stock appreciation rights and other stock or cash-based awards to officers, employees, directors and consultants of the Company. The number of shares of common stock initially available for issuance under the 2024 Plan was 2,839,888 shares of common stock. The 2024 Plan provides that the number of shares reserved and available for issuance under the 2024 Plan will automatically increase each January 1, beginning on January 1, 2025, by 5% of the outstanding number of shares on the immediately preceding December 31, or such lesser amount as determined by the plan administrator. As of March 31, 2026, there were 2,130,724 shares available for future grant under the 2024 Plan.</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15, 2024, Homology’s board of directors adopted and subsequently, Homology’s stockholders approved the Q32 Inc. 2024 Employee Stock Purchase Plan (the “2024 ESPP”). The 2024 ESPP allows employees to buy Company stock through after-tax payroll deductions at a discount from market value. The 2024 ESPP is intended to qualify as an “employee stock purchase plan” under Section 423 of the Internal Revenue Code. The number of shares of common stock initially available for issuance under the 2024 ESPP was 120,836 shares of common stock. The 2024 ESPP provides that the number of shares reserved and available for issuance under the plan will automatically increase each January 1, beginning on January 1, 2025, by the lesser of 241,677 shares, a number of shares equal 1% of the outstanding number of shares on the immediately preceding December 31, or such lesser amount as determined by the plan administrator. As of March 31, 2026, there were 371,393 shares available for future grant under the 2024 ESPP.</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2024 ESPP, employees may purchase common stock through after-tax payroll deductions at a price equal to 85% of the lower of the fair market value on the first trading day of an offering period or the last trading day of an offering period. The 2024 ESPP generally provides for offering periods of six months in duration that end on the final trading day of each February and August. In accordance with the Internal Revenue Code, no employee will be permitted to accrue the right to purchase stock under the 2024 ESPP at a rate in excess of $25,000 worth of shares during any calendar year during which such a purchase right is outstanding (based on the fair market value per share of the Company’s common stock as of the first day of the offering period).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shares issued under the 2024 ESPP during the three months ended March 31, 2026 and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ten-year contractual term. The following table summarizes the Company’s stock option activity during the three months ended March 31, 2026:</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2,264,082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March 31, 2026</w:t>
            </w: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2.86</w:t>
            </w:r>
          </w:p>
        </w:tc>
        <w:tc>
          <w:tcPr>
            <w:tcW w:w="12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7.64</w:t>
            </w:r>
          </w:p>
        </w:tc>
        <w:tc>
          <w:tcPr>
            <w:tcW w:w="36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1,230,591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12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3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-462280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-445135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per share weighted-average grant date fair value of options granted in the three months ended March 31, 2026 was $2.73. The total fair value of options vested during the three months ended March 31, 2026 was $0.2 million. As of March 31, 2026, total unrecognized compensation costs to the unvested stock options were approximately $6.8 million, which is expected to be recognized over a weighted-average period of 1.1 years. The per share weighted-average exercise price of options cancelled in the three months ended March 31, 2026 of $17.63 was impacted by the Option Repricing (defined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Modifications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February 23, 2025, the Company's board of directors approved a stock option repricing (the “Option Repricing”), which was effective on February 24, 2025 (the “Repricing Date”). The Option Repricing applied to outstanding options to purchase shares of common stock of the Company granted under the Company’s 2017 Plan and 2024 Plan (collectively, “the Plans”), which, as of the Repricing Date, were held by current employees and non-employee directors of the Company and had an exercise price in excess of the current trading price of the common stock (so-called “underwater options”) with grant dates prior to February 23, 2025 (the “Eligible Options”). As of the Repricing Date, the Eligible Options were repriced such that the exercise price per share for such Eligible Options was reduced to the closing price of the common stock on the Nasdaq Global Market on the Repricing Date (the “Repriced Exercise Price”). The total number of shares of common stock underlying all Eligible Options was 1,871,416.</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Eligible Options will revert to the original exercise price (the “Original Price”) if (i) such Eligible Options are exercised prior to the one-year anniversary of the Repricing Date (the “Retention Date”), (ii) an Eligible Option holder's employment is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t>terminated by the Company for Cause (as defined in the 2024 Plan) prior to the Retention Date, or (iii) an Eligible Option holder resigns for any reason prior to the Retention Date. If an Eligible Option holder is terminated by the Company other than for Cause prior to the Retention Date (a “Terminated Employee”), any Eligible Options vested as of the date of such termination shall be exercisable at the Repriced Exercise Price (the “Terminated Employee Vested Options”), even prior to the Retention Date; provided that any unvested Eligible Options as of the date of such termination shall revert to the Original Price as of the date of termination. The deadline to exercise any Terminated Employee Vested Options, and any other Eligible Options held by a Terminated Employee that may become vested, shall be extended (but not truncated) to the later of (a) the one-year anniversary of the Terminated Employee’s termination date and (b) to align with the Eligible Option holder’s severance period (whether now or later implemented); provided that no extension shall exceed the Terminated Employee Vested Option’s expiration date, if earlier. In the event of a change-in-control prior to the Retention Date, each Eligible Option shall retain the Repriced Exercise Price to the extent it has not otherwise reverted to the Original Price. For the avoidance of doubt, the Eligible Options as modified by the Option Repricing are subject to the severance or change-in-control provisions in the current or future employment agreements, programs, policies or plans the Company has entered into or implemented or will enter into or implement with its directors, executive officers and other employees. There were no changes to the number of shares, the vesting schedule, or the expiration date of the Repriced Options except as outlined above.</w:t>
      </w:r>
    </w:p>
    <w:p>
      <w:pPr>
        <w:spacing w:after="0" w:line="18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repricing of the Eligible Options was accounted for as a modification under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Accordingly, the Company calculated incremental compensation cost on the modification date in an amount equal to the difference between the fair value of the awards before and after modification, determined using a lattice model based on the Hull-White framework, and recognized $0.3 million in its statement of operations for the year ended December 31, 2025. An additional $0.2 million is being recognized over the remaining vesting terms of the modified awards.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fair values of restricted stock units (“RSUs”) are based on the fair market value of the Company’s common stock on the date of grant. Each RSU represents a contingent right to receive one share of the Company’s common stock upon vesting. In general, RSUs vest annually in two or three equal installments. The following table summarizes the Company’s RSU activity during the three months ended March 31, 2026:</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317,213</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389,850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(104,737)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599,326</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total unrecognized compensation costs to the unvested RSUs were approximately $2.4 million, which is expected to be recognized over a weighted-average period of 2.6 years. The total fair value of RSUs vested during the three months ended March 31, 2026 was $0.3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underlying assumptions used to value stock options granted using the Black-Scholes option-pricing model prior to the Option Repricing during the three months ended March 31, 2026 and 2025 were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3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20" w:type="dxa"/>
            <w:vAlign w:val="bottom"/>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3.83%</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 %</w:t>
            </w: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 range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FF0FC"/>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 range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98.6%</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20"/>
                <w:szCs w:val="20"/>
                <w:color w:val="auto"/>
              </w:rPr>
            </w:pPr>
          </w:p>
        </w:tc>
      </w:tr>
    </w:tbl>
    <w:p>
      <w:pPr>
        <w:spacing w:after="0" w:line="218"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rate assumption is based on the U.S. Treasury instruments, the terms of which were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Company’s stock options.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expected dividend assumption is based on the Company’s history and expectation of dividend payouts.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paid and does not intend to pay dividends.</w:t>
      </w:r>
    </w:p>
    <w:p>
      <w:pPr>
        <w:spacing w:after="0" w:line="15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expected term of stock options represents the weighted average period the stock options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uses the simplified method for estimating the expected term, which calculates the expected term as the average time-to-vesting and the contractual life of the options for stock options issued to employees. The expected term for options granted to non-employees is based on the contractual life of the options.</w:t>
      </w:r>
    </w:p>
    <w:p>
      <w:pPr>
        <w:spacing w:after="0" w:line="180"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Due to the Company’s limited operating history and lack of sufficient company-specific historical or implied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volatility assumption was determined by examining the historical volatilities of a group of industry peers whose share prices are publicly available. The Company expects to continue to do so until such time as it has adequate historical data regarding the volatility of its own traded stock price.</w:t>
      </w:r>
    </w:p>
    <w:p>
      <w:pPr>
        <w:spacing w:after="0" w:line="17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Merger, as there had been no public market for the Company’s common stock, the estimated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common stock was determined by the Company using estimates and assumptions on the respective grant dates of the awards. These estimates and assumptions include a number of objective and subjective factors, including external market conditions, the prices at which the Company sold shares of preferred securities and the superior likelihood of achieving a liquidity event, such as an IPO or sale. Significant changes to the key assumptions used in the valuations could result in different fair values of common stock at each valuation date.</w:t>
      </w:r>
    </w:p>
    <w:p>
      <w:pPr>
        <w:spacing w:after="0" w:line="18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As discussed above, incremental stock-based compensation expense for the Option Repricing on February 24, 2025 was calculated using a lattice model based on the Hull-White framework. This approach incorporated key assumptions, including suboptimal exercise multiples for both staff and executives, derived from empirical data. The model also accounted for additional factors such as vesting periods, employee turnover based on the accounting of forfeitures, volatility, contractual expiry, and risk-free rates.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Agreements with Horizon</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for the completion of the two ongoing Phase 2 trials for bempikibart, and Horizon had an option to acquire the bempikibart program at a prespecified price, subject to certain adjustments.</w:t>
      </w:r>
    </w:p>
    <w:p>
      <w:pPr>
        <w:spacing w:after="0" w:line="183"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In October 2023, Amgen Inc. (“Amgen”) completed its acquisition of Horizon Therapeutics public limited company (“Horizon plc”). Following the acquisition, the Company agreed with Amgen to mutually terminate the Horizon Agreements. In November 2023, the Company and Horizon entered into a termination agreement (the “Horizon Termination Agreement”), pursuant to which Horizon’s option to acquire the bempikibart program was terminated.</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the Company retained all initial consideration and development funding received under the Horizon Collaboration Agreement and regained full development and commercial rights to bempikibart. In consideration for the Horizon Termination Agreement, the Company agreed to pay Horizon regulatory and sales milestones payments upon the first achievement of certain regulatory and sales milestones with respect to bempikibart. All amounts previously recognized as revenue were reversed in the fourth quarter of 2023 and a refund liability was established for the $55.0 million cash received during the term of the Horizon Collaboration Agreement.</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November 7, 2025, the Company and Amgen entered into an amendment to the Horizon Termination Agreement (the “Amgen Amendment”) pursuant to which the Company issued Horizon a one-time equity grant of 553,695 shares of the Company’s common stock as full consideration of the milestone payments under the Horizon Termination Agreement. Following the transactions contemplated by the Amgen Amendment, the Company has no remaining obligations to Amgen, including with respect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4" w:name="page25"/>
    <w:bookmarkEnd w:id="24"/>
    <w:p>
      <w:pPr>
        <w:ind w:right="100"/>
        <w:spacing w:after="0" w:line="266" w:lineRule="auto"/>
        <w:rPr>
          <w:sz w:val="20"/>
          <w:szCs w:val="20"/>
          <w:color w:val="auto"/>
        </w:rPr>
      </w:pPr>
      <w:r>
        <w:rPr>
          <w:rFonts w:ascii="Times New Roman" w:cs="Times New Roman" w:eastAsia="Times New Roman" w:hAnsi="Times New Roman"/>
          <w:sz w:val="18"/>
          <w:szCs w:val="18"/>
          <w:color w:val="auto"/>
        </w:rPr>
        <w:t>regulatory and sales-based milestone payments set forth in the Horizon Collaboration Agreement. Therefore, the Company derecognized the $55.0 million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and advisory agreements with certain investors and board members which are considered to be related party transactions. The Company did not incur expense for the three months ended March 31, 2026 and 2025 related to services provided by these investors and board members.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amounts were due to related parties at March 31, 2026 or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record a tax provision or benefit for the three months ended March 31, 2026 and 2025.</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including the shares of common stock underlying the pre-funded warrants, for the three months ended March 31, 2026. Shares of common stock issuable upon exercise of the pre-funded warrants are considered outstanding for the purposes of computing basic net loss per share because the shares may be issued for little or no consideration, are fully vested and are exercisable after the original issuance date.</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only potential shares of common stock that are dilutive are included. For the three months ended March 31, 2026 and 2025, the Company’s potentially dilutive securities, which include stock options, RSUs, warrants and pre-funded warrants have been excluded from the computation of diluted net loss per share as the effect would be to reduce the net loss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3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loss-basic</w:t>
            </w: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loss-diluted</w:t>
            </w:r>
          </w:p>
        </w:tc>
        <w:tc>
          <w:tcPr>
            <w:tcW w:w="22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(7,609)</w:t>
            </w:r>
          </w:p>
        </w:tc>
        <w:tc>
          <w:tcPr>
            <w:tcW w:w="4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0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14,095,371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12,197,615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0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14,095,371</w:t>
            </w: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12,197,615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w:t>
            </w:r>
          </w:p>
        </w:tc>
        <w:tc>
          <w:tcPr>
            <w:tcW w:w="2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16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share-diluted</w:t>
            </w:r>
          </w:p>
        </w:tc>
        <w:tc>
          <w:tcPr>
            <w:tcW w:w="2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4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-1953895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-1953895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-1096645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because including them would have had an anti-dilutive effect:</w:t>
      </w:r>
    </w:p>
    <w:p>
      <w:pPr>
        <w:spacing w:after="0" w:line="1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1,938,015</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467,150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shd w:val="clear" w:color="auto" w:fill="CFF0FC"/>
          </w:tcPr>
          <w:p>
            <w:pPr>
              <w:spacing w:after="0"/>
              <w:rPr>
                <w:sz w:val="18"/>
                <w:szCs w:val="18"/>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1,025,654</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The Company operates as one operating segment, focused on research, development, and discovering, developing and delivering therapies for its novel biologics. The Company’s CEO, as the chief operating decision maker (“CODM”), manages and allocates resources to the operations of the Company on a consolidated basis. Managing and allocating resources on a total-company basis enables the CODM to assess the overall level of resources available and how to best deploy those resources across research and development projects that are in line with our long-term company-wide strategic goals. Consistent with this decision-making process, the CODM uses consolidated, single-segment financial information for purposes of evaluating performance, forecasting future period financial results, allocating resources and setting incentive targets. When evaluating the Company’s overall performance, the CODM is focused on the timing and progress of its preclinical and clinical development activities. The CODM regularly reviews total expenses, as well as direct research and development expenses by program and makes decisions using this information on a company-wide basis.</w:t>
      </w:r>
    </w:p>
    <w:p>
      <w:pPr>
        <w:spacing w:after="0" w:line="6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reportable segment are the same as those described in the summary of significant accounting policies. The CODM assesses performance and decides how to allocate resources based on consolidated net loss. This measure is used to monitor budget versus actual results to assess performance of the segment. The measure of segment assets is reported on the consolidated balance sheet as total consolidated assets.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reportable segment net loss, including significant expenses regularly provided to the CODM, attributable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reportable segment for the three months ended March 31, 2026 and 2025:</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 by program:</w:t>
            </w: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Bempikibart</w:t>
            </w:r>
          </w:p>
        </w:tc>
        <w:tc>
          <w:tcPr>
            <w:tcW w:w="16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ADX-097</w:t>
            </w: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Discovery and other</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 (excluding stock-based compensation)</w:t>
            </w: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G&amp;A expenses</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(1)</w:t>
            </w:r>
          </w:p>
        </w:tc>
        <w:tc>
          <w:tcPr>
            <w:tcW w:w="8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8"/>
                <w:szCs w:val="18"/>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loss</w:t>
            </w:r>
          </w:p>
        </w:tc>
        <w:tc>
          <w:tcPr>
            <w:tcW w:w="16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80" w:type="dxa"/>
            <w:vAlign w:val="bottom"/>
            <w:shd w:val="clear" w:color="auto" w:fill="CFF0FC"/>
          </w:tcPr>
          <w:p>
            <w:pPr>
              <w:spacing w:after="0"/>
              <w:rPr>
                <w:sz w:val="19"/>
                <w:szCs w:val="19"/>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820" w:firstLine="517"/>
        <w:spacing w:after="0" w:line="282" w:lineRule="auto"/>
        <w:tabs>
          <w:tab w:leader="none" w:pos="7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are included in order to reconcile to total segment net loss. Other segment items include non-cash items such as depreciation and amortization expense, stock-based compensation expense and the change in fair value of contingent value rights.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date the financial statements are available to be issued for potential recognition or disclosure in the financial statements. The Company has completed an evaluation of all subsequent events after the balance sheet date of March 31, 2026 through the date the financial statements were issued to ensure that these financial statements include appropriate disclosure of events both recognized in the financial statements as of March 31, 2026 and events which occurred subsequently but were not recognized in the financial statements, and there were no material subsequent events requiring disclosure, except that subsequent to March 31, 2026, the Company sold 2,326,952 shares of common stock and received net proceeds of $13.8 million pursuant to the ATM under the Sales Agreement, and the Company filed an additional prospectus supplement with the SEC on April 24, 2026, pursuant to which the Company may offer and sell additional Shares having an aggregate offering price of up to $75 million pursuant to the Sales Agreement.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appearing elsewhere in this Quarterly Report on Form 10-Q.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Quarterly Report on Form 10-Q.</w:t>
      </w:r>
    </w:p>
    <w:p>
      <w:pPr>
        <w:spacing w:after="0" w:line="18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“Legacy Q32” refers to the business and operations of Q32 Bio Operations Inc. (previously Q32 Bio Inc.) and its consolidated subsidiaries prior to the Merger, and references to “the Company,” “we,” “us,” “our” and other similar terms refer to the business and operations of Q32 Bio Inc. (previously Homology Medicines, Inc., or Homology) and its consolidated subsidiary following the Merger.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a clinical stage biotechnology company focused on developing innovative therapies for alopecia areata (“AA”) and other autoimmune and inflammatory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(ADX-914)</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Bempikibart (ADX-914), our most advanced product candidate, is a fully human anti–interleukin-7 receptor alpha (“IL-7Rα”), antagonist monoclonal antibody designed to re-regulate adaptive immune function by potently blocking signaling mediated by interleukin-7 (“IL-7”), and thymic stromal lymphopoietin (“TSLP”). We have completed two Phase 2a clinical trials evaluating bempikibart, SIGNAL-AA Part A, for the treatment of AA, and SIGNAL-AD, for the treatment of atopic dermatitis (“AD”). In December 2024, we announced topline results from both of these trials, as well as our intention to advance bempikibart for the treatment of AA.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SIGNAL-AA Part A and SIGNAL-AD</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SIGNAL-AA Part A clinical trial, patients with severe or very severe AA were dosed with 200mg subcutaneous (“SC”) bempikibart every two weeks for 24 weeks and followed for an additional 12 weeks following the end of treatment. At the 24-week endpoint, we observed more hair regrowth compared to placebo and evidence of durable responses in patients. The average hair regrowth across patients in the trial continued to improve from week 24 to week 36 despite patients being off therapy during the 12-week follow-up period.</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Across the SIGNAL-AA and SIGNAL-AD trials, at the 200mg Phase 2a dose, we achieved our desired receptor occupancy (“RO”) and observed favorable pharmacokinetics (“PK”) / pharmacodynamic (“PD”) properties, consistent with those from the Phase 1 clinical trial. Minimal anti-drug antibodies (“ADAs”) were observed in the trials.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across the two trials, we observed changes in biomarkers consistent with the IL-7Rα mechanism and activity mediated by both the TSLP and IL-7 receptors. In the SIGNAL-AD trial, we observed meaningful decreases in key Th2 biomarkers of TARC, IgE, and eosinophils, each of which were statistically significant at multiple timepoints suggestive of potent TSLP inhibition. In the SIGNAL-AA trial, we observed a CD3+ T cell decrease, which was also statistically significant at multiple timepoints, suggestive of potent IL-7 inhibition. These findings were consistent with expected target engagement and IL-7Rα blockade.</w:t>
      </w:r>
    </w:p>
    <w:p>
      <w:pPr>
        <w:spacing w:after="0" w:line="183"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Across all clinical trials, bempikibart has been dosed in over 150 participants to-date and has demonstrated a favorable safety and tolerability profile, with no Grade 3 or higher related adverse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SIGNAL-AA Part B</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April 2025, we announced dosing of the first patients in Part B of the SIGNAL-AA Phase 2a clinical trial. The Part B portion of SIGNAL-AA is an open-label clinical trial dosing severe or very severe AA patients with a maximum duration of current episode of four years. Patients will be treated with bempikibart for 36 weeks, with follow-up out to 52 weeks. Dosing includes an initial loading regimen of 200mg of bempikibart dosed weekly for four doses, followed by a maintenance dose of 200mg every-other-week over a 32-week period for a total dosing period of 36 weeks. Efficacy will be evaluated on the basis of mean percentage change from baseline in Severity of Alopecia Tool (“SALT”) scores as well as the proportion of subjects achieving various relative and absolute SALT score improvements at week 36, with follow-up through week 52. The trial is intended to support advancement into pivotal trials upon completion, pending review of the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announced completion of enrollment in the SIGNAL-AA Part B clinical trial in October 2025. We enrolled 33 patients in the SIGNAL-AA Part B trial and dosing remains ongoing. We expect to report 36-week topline data from the SIGNAL-AA Part B trial in mid-2026.</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Following completion of the SIGNAL-AA Part B trial through 52 weeks, eligible patients can enter an open-label extension (“OLE”) period to enable longer-term follow-up and continued dosing. The first patient has been dosed in the OLE portion of Part 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 A OLE of the SIGNAL-AA Phase 2a clinical trial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2025, we announced the initiation of an OLE trial for eligible patients that completed Part A to enable longer-term follow-up of patients.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OLE trial is complete, and we intend to report findings from the trial with the Part B 36-week topline results in mid-2026.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April 2025, we announced that the U.S. Food and Drug Administration (the “FDA”) has granted Fast Track designation (“FTD”) to bempikibart for the treatment of AA. FTD is a process designed to facilitate the development and expedite the review of new drugs to treat serious diseases and fill an unmet medical need with the purpose of getting important new drugs to patients earlier. A drug that receives FTD may be eligible for more frequent meetings and communications with the FDA to discuss development plans and ensure the collection of appropriate data needed to support approval and for a rolling review of an application for marketing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ADX-097</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bempikibart, our strategy has been focused on the advancement of our proprietary tissue-targeted complement inhibitor platform. ADX-097, a Phase 2 asset from this platform, is a humanized anti-C3d monoclonal antibody (“mAb”) fusion protein that completed Phase 1 clinical trials. However, in February 2025, we announced a corporate restructuring to focus on the advancement of bempikibart for the treatment of patients with AA. On November 28, 2025, we entered into an Asset Purchase Agreement with Akebia Therapeutics, Inc. (“Akebia”) pursuant to which we sold to Akebia substantially all of our assets related to the research, development, manufacture and commercialization of ADX-097 (the “ADX-097 Asset Sale”). Following the ADX-097 Asset Sale, Akebia is now responsible for any future development and commercialization of ADX-097. As consideration for the ADX-097 Asset Sale, we received an upfront payment of $7.0 million and will receive a payment of $3.0 million on the six-month anniversary of the transaction. We will also receive a near-term milestone payment of $2.0 million upon the earlier of achievement of the first milestone under the Asset Purchase Agreement or December 31, 2026. In addition to these payments, we are eligible to receive up to $580 million upon the achievement of specified milestones, including up to $92.5 million related to development and regulatory milestones and up to $487.5 million related to commercial milestones. We are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ADX-096/Complement Inhibitor Platform</w:t>
      </w:r>
    </w:p>
    <w:p>
      <w:pPr>
        <w:spacing w:after="0" w:line="12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In addition to ADX-097, we developed a proprietary tissue-targeted complement platform, which is designed to inhibit complement activation in the tissue while minimizing systemic complement blockade, a key differentiator versus current complement therapeutics. Other assets developed from our proprietary platform include ADX-096, a C3d mAb – CR</w:t>
      </w:r>
      <w:r>
        <w:rPr>
          <w:rFonts w:ascii="Times New Roman" w:cs="Times New Roman" w:eastAsia="Times New Roman" w:hAnsi="Times New Roman"/>
          <w:sz w:val="24"/>
          <w:szCs w:val="24"/>
          <w:color w:val="auto"/>
          <w:vertAlign w:val="subscript"/>
        </w:rPr>
        <w:t>11-10</w:t>
      </w:r>
      <w:r>
        <w:rPr>
          <w:rFonts w:ascii="Times New Roman" w:cs="Times New Roman" w:eastAsia="Times New Roman" w:hAnsi="Times New Roman"/>
          <w:sz w:val="18"/>
          <w:szCs w:val="18"/>
          <w:color w:val="auto"/>
        </w:rPr>
        <w:t xml:space="preserve"> fusion protein with preclinical data supportive of its use in ophthalmologic indications as well as potential utility in a broad range of other indications, and C3d mAb fusions and nanobodies designed for tissue-targeted complement inhibition.</w:t>
      </w:r>
    </w:p>
    <w:p>
      <w:pPr>
        <w:spacing w:after="0" w:line="20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retain the rights to our wholly owned tissue-targeted complement inhibitor platform, including ADX-096 and other remaining early-stage assets, and are continuing to evaluate strategic options for these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Development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development pipeline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85725</wp:posOffset>
            </wp:positionV>
            <wp:extent cx="5795010" cy="24860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9501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1: Our Development Pipeline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ATM Offering Program</w:t>
      </w:r>
    </w:p>
    <w:p>
      <w:pPr>
        <w:spacing w:after="0" w:line="12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On March 27, 2026, we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Sales Agreement (the “Sales Agreement”) with Cantor Fitzgerald &amp; Co. (the “Sales Agent”), with respect to an at-the-market (“ATM”) offering program pursuant to which we may offer and sell, from time to time at our sole discretion, shares of our common stock, par value $0.0001 per share (the “Shares”), through the Sales Agent. The Shares to be offered and sold under the Sales Agreement, if any, will be offered and sold pursuant to our shelf registration statement on Form S-3 (File No. 333-286491), which was filed with the Securities and Exchange Commission (“SEC”) on April 11, 2025 and declared effective by the SEC on April 21, 2025. We filed a prospectus supplement with the SEC on March 27, 2026, pursuant to which we may offer and sell Shares having an aggregate offering price of up to $14.2 million pursuant to the Sales Agreement. There were no shares of common stock sold pursuant to the ATM during the three months ended March 31, 2026. On March 31, 2026, there remained $14.2 million of common stock available for sale under the ATM. Subsequent to March 31, 2026, we sold 2,326,952 shares of common stock and received net proceeds of $13.8 million pursuant to the ATM, and we also filed an additional prospectus supplement with the SEC on April 24, 2026, pursuant to which we may offer and sell additional Shares having an aggregate offering price of up to $75 million pursuant to the Sales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we entered into a definitive agreement for the issuance and sale of 1,666,679 shares of common stock and pre-funded warrants to purchase up to 1,025,654 shares of common stock at an offering price of $3.90 per share of common stock, which was the closing price per share of our common stock on Nasdaq on February 13, 2026, and $3.8999 per pre-funded warrant, which represents the price per share for the common stock less the $0.0001 per share exercise price for each pre-funded warrant. The pre-funded warrants may be exercised at any time until the pre-funded warrants are exercised in full. The issuance of the shares was completed on February 19, 2026. We received net proceeds of $10.4 million pursuant to the registered direct offering.</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securities referenced above were offered pursuant to a shelf registration statement on Form S-3 (333-286491) that was filed with the SEC on April 11, 2025, and was declared effective by the SEC on April 21,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to Bempikibart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to</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30" w:name="page31"/>
    <w:bookmarkEnd w:id="30"/>
    <w:p>
      <w:pPr>
        <w:ind w:right="140"/>
        <w:spacing w:after="0" w:line="282" w:lineRule="auto"/>
        <w:rPr>
          <w:sz w:val="20"/>
          <w:szCs w:val="20"/>
          <w:color w:val="auto"/>
        </w:rPr>
      </w:pPr>
      <w:r>
        <w:rPr>
          <w:rFonts w:ascii="Times New Roman" w:cs="Times New Roman" w:eastAsia="Times New Roman" w:hAnsi="Times New Roman"/>
          <w:sz w:val="18"/>
          <w:szCs w:val="18"/>
          <w:color w:val="auto"/>
        </w:rPr>
        <w:t>complete two ongoing Phase 2 trials for bempikibart, and granted Horizon an option to acquire the bempikibart program at a prespecified price, subject to certain adjustments.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2023, Amgen Inc. (“Amgen”) completed the acquisition of Horizon Therapeutics public limited company (“Horizon plc”). Following the acquisition, Legacy Q32 agreed with Amgen to mutually terminate the Horizon Agreements. In November 2023, Legacy Q32 entered into a termination agreement with Horizon (the “Horizon Termination Agreement”), pursuant to which Horizon’s option to acquire the bempikibart program was terminated. As a result, Legacy Q32 retained the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 payments upon the first achievement of certain regulatory and sales milestones with respect to bempikibart. All amounts previously recognized were reversed in the fourth quarter of 2023 and a refund liability was established for the $55.0 million cash received during the term of the Horizon Collaboration Agreement.</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November 7, 2025, we entered into an amendment to the Horizon Termination Agreement (the “Amgen Amendment”) with Amgen pursuant to which we issued Horizon a one-time equity grant of 553,695 shares of our common stock as full consideration of the milestone payments under the Horizon Termination Agreement. Following the transactions contemplated by the Amgen Amendment, we have no remaining obligations to Amgen, including with respect to the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$50.8 million. We expect that our cash and cash equivalents, combined with proceeds received under the ATM subsequent to March 31, 2026, and guaranteed near-term milestone payments from the ADX-097 Asset Sale, will be sufficient to enable us to fund our operating expenses and capital expenditure requirements into the first half of 2028. This estimate is based on assumptions that may prove to be wrong, and we could use our capital resources sooner than currently anticipated.</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expect our existing cash and cash equivalents will be sufficient for us to advance any of our programs through regulatory approval, and we will need to raise additional capital to complete the development and potential commercialization of any of our programs. We may also use a portion of our cash and cash equivalents to acquire, in-license or invest in products, technologies or businesses that are complementary to our business. The amounts and timing of actual expenditures will depend on numerous factors, including the progress of development efforts, operating costs and other factors described under “Risk Factors” in this Quarterly Report on Form 10-Q.</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expected use of proceeds represents current intentions based upon present plans and business conditions. As of the date of this Quarterly Report on Form 10-Q, we cannot predict with complete certainty all of the particular uses for our current cash and cash equivalents or the actual amounts that we will spend on the uses set forth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our management does not expect to generate any revenue from the sale of products in the foreseeable future.</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recognized collaboration arrangement revenue in prior years as a result of the Horizon Agreements and later, the Horizon Termination Agreement and Amgen Amendment. Refer to Note 14 to our unaudited condensed consolidated financial statements appearing elsewhere in this Quarterly Report on Form 10-Q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since inception have consisted solely of research and development costs and general and administrative costs.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External expenses include:</w:t>
      </w:r>
    </w:p>
    <w:p>
      <w:pPr>
        <w:spacing w:after="0" w:line="54" w:lineRule="exact"/>
        <w:rPr>
          <w:sz w:val="20"/>
          <w:szCs w:val="20"/>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costs related to agreements with third parties such as consultants, contractors and clinical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facilities-related expenses, depreciation, supplies, travel expenses and other allocated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are recognized based on an evaluation of the progress to completion of specific tasks using information provided to us by our service providers or our estimate of the level of service that has been performed at each reporting date.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allocate direct external research and development costs to specific programs or product candidates until there is an internally designated development candidate. We typically use our employee and infrastructure resources across our product candidates and development programs. We do not allocate personnel costs or other internal costs to research and development programs and product candidates.</w:t>
      </w:r>
    </w:p>
    <w:p>
      <w:pPr>
        <w:spacing w:after="0" w:line="176"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We expect that future changes to our research and development expenses will depend significantly on the success of our clinical data. We expect that research and development expenses will increase substantially as we continue to advance our programs into and through clinical development. Product candidates in later stages of clinical development generally have higher development costs than those in earlier stages of clinical development, primarily due to the increased size and duration of later-stage clinical trials. At this time, we cannot accurately estimate or know the nature, timing and costs of the efforts that will be necessary to complete the preclinical and clinical development of any product candidates.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6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bonuses, related benefits, and stock-based compensation expense for personnel in executive, finance, and administrative functions; professional fees for corporate legal and patent matters, consulting, accounting, and audit services; and travel expenses, insurance, technology costs and other allocated expenses. General and administrative expenses also include corporate facility costs, including rent, utilities, depreciation, and maintenance, not otherwise included in research and development expense. We recognize general and administrative expenses in the periods in which they are incurred. General and administrative expenses are expected to increase as we continue to operate as a public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of interest income primarily earned on money market fund accounts and interest expense related to our debt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thousands)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40" w:type="dxa"/>
            <w:vAlign w:val="bottom"/>
          </w:tcPr>
          <w:p>
            <w:pPr>
              <w:spacing w:after="0"/>
              <w:rPr>
                <w:sz w:val="18"/>
                <w:szCs w:val="18"/>
                <w:color w:val="auto"/>
              </w:rPr>
            </w:pPr>
          </w:p>
        </w:tc>
        <w:tc>
          <w:tcPr>
            <w:tcW w:w="3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(7,722)</w:t>
            </w: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(7,609)</w:t>
            </w:r>
          </w:p>
        </w:tc>
        <w:tc>
          <w:tcPr>
            <w:tcW w:w="3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(11,031)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-753745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-753745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-462280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-462280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2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020" w:type="dxa"/>
            <w:vAlign w:val="bottom"/>
            <w:gridSpan w:val="3"/>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4"/>
              </w:rPr>
              <w:t>thousands)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 by program:</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Bempikibart</w:t>
            </w:r>
          </w:p>
        </w:tc>
        <w:tc>
          <w:tcPr>
            <w:tcW w:w="218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1,310</w:t>
            </w:r>
          </w:p>
        </w:tc>
        <w:tc>
          <w:tcPr>
            <w:tcW w:w="8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ADX-097</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Discovery and other</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5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Personnel-related and consulting (including stock-based</w:t>
            </w: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0" w:type="dxa"/>
            <w:vAlign w:val="bottom"/>
          </w:tcPr>
          <w:p>
            <w:pPr>
              <w:spacing w:after="0"/>
              <w:rPr>
                <w:sz w:val="18"/>
                <w:szCs w:val="18"/>
                <w:color w:val="auto"/>
              </w:rPr>
            </w:pP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3,218</w:t>
            </w:r>
          </w:p>
        </w:tc>
        <w:tc>
          <w:tcPr>
            <w:tcW w:w="8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$3.2 million for the three months ended March 31, 2026, compared to $7.1 million for the three months ended March 31, 2025. The decrease of $3.9 million was primarily due to a decrease of $1.5 million in spend related to our bempikibart program due to higher costs in the prior year as we were incurring close-out costs related to our SIGNAL-AD clinical trial, as well as a decrease of $0.6 million in direct research and development expenses due to the sale of ADX-097 to Akebia in November 2025.</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decrease in personnel-related and consultant costs was primarily related to lower headcount as compared to the prior year resulting from the corporate restructuring in February 2025. Personnel-related and consultant costs for the three months ended March 31, 2026 and 2025 included stock-based compensation expense of $0.2 million and $0.3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$4.5 million for the three months ended March 31, 2026, compared to $5.1 million for the three months ended March 31, 2025. The decrease of $0.6 million was primarily due to lower legal and consulting costs as compared to the prior year.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was $0.1 million for the three months ended March 31, 2026, compared to $1.2 million for the three months ended March 31, 2025. The decrease of $1.1 million was primarily related to a gain recorded in the prior year for the change in fair value of the CVR liability of $1.0 million, as well as higher interest income in the prior year due to a higher average cash balance for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negative cash flows from operations. We have not yet commercialized any of our product candidates, which are in various phases of preclinical and clinical development, and we do not expect to generate revenue from sales of any products for several years, if at all. To date, we have funded our operations primarily from proceeds from the sales of our convertible preferred stock and convertible notes, as well as proceeds from our venture debt, the ADX-097 Asset Sale, the Horizon Collaboration Agreement, the Merger with Homology and accompanying Pre-Closing Financing. From inception through March 31, 2026, we raised $136.0 million in aggregate cash proceeds, net of issuance costs, from the sales of our convertible preferred stock and convertible notes. In addition, we received $55.0 million in payments under the Horizon Collaboration Agreement, $12.5 million in proceeds from our venture debt, $61.3 million, net of issuance costs, in connection with the Merger with Homology, $42.0 million pursuant to the Pre-Closing Financing, $7.0 million pursuant to the ADX-097 Asset Sale and $10.4 million, net of issuance costs, from the issuance of common stock and pre-funded warrants in a Registered Direct Offering. As of March 31, 2026, we had cash and cash equivalents of $50.8 million.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March 31, 2026, had an accumulated deficit of $212.6 million. We expect negative cash flows from operations and net losses for the foreseeable future as we continue to invest significantly in research and development of our product candidates and platform. We have not yet commercialized any product and do not expect to generate revenue from sales of any products for several years, if at all.</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cash and cash equivalents of $50.8 million. We expect that our cash and cash equivalents as of March 31, 2026, combined with proceeds received under the ATM subsequent to March 31, 2026, and guaranteed near-term milestone payments from the ADX-097 Asset Sale, will be sufficient to fund our operations to into the first half of 2028. Management based its projections of operating capital requirements on our current operating plan, which includes several assumptions that may prove to be incorrect, and we may use all of our available capital resources sooner than management expects. We expect to seek to raise additional capital through private or public equity or debt financings, loans or other capital sources, which could include collaborations, partnerships or other marketing, distribution, licensing or other strategic arrangements with third parties, or from grants, and may be required to seek additional capital sooner than planned. However, there can be no assurances that we will be able to raise additional capital from these sources on favorable terms,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ectPr>
          <w:pgSz w:w="11900" w:h="16838" w:orient="portrait"/>
          <w:cols w:equalWidth="0" w:num="1">
            <w:col w:w="11220"/>
          </w:cols>
          <w:pgMar w:left="320" w:top="13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Increase/(decrease) in cash, cash equivalents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24"/>
        </w:trPr>
        <w:tc>
          <w:tcPr>
            <w:tcW w:w="320" w:type="dxa"/>
            <w:vAlign w:val="bottom"/>
          </w:tcPr>
          <w:p>
            <w:pPr>
              <w:spacing w:after="0"/>
              <w:rPr>
                <w:sz w:val="10"/>
                <w:szCs w:val="10"/>
                <w:color w:val="auto"/>
              </w:rPr>
            </w:pPr>
          </w:p>
        </w:tc>
        <w:tc>
          <w:tcPr>
            <w:tcW w:w="1080" w:type="dxa"/>
            <w:vAlign w:val="bottom"/>
          </w:tcPr>
          <w:p>
            <w:pPr>
              <w:jc w:val="right"/>
              <w:ind w:right="56"/>
              <w:spacing w:after="0" w:line="124"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680" w:type="dxa"/>
            <w:vAlign w:val="bottom"/>
            <w:gridSpan w:val="3"/>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i w:val="1"/>
                <w:iCs w:val="1"/>
                <w:color w:val="auto"/>
                <w:w w:val="81"/>
              </w:rPr>
              <w:t>thousands)</w:t>
            </w: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(6,343)</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16"/>
        </w:trPr>
        <w:tc>
          <w:tcPr>
            <w:tcW w:w="320" w:type="dxa"/>
            <w:vAlign w:val="bottom"/>
          </w:tcPr>
          <w:p>
            <w:pPr>
              <w:spacing w:after="0"/>
              <w:rPr>
                <w:sz w:val="18"/>
                <w:szCs w:val="18"/>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385"/>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tcPr>
          <w:p>
            <w:pPr>
              <w:spacing w:after="0"/>
              <w:rPr>
                <w:sz w:val="24"/>
                <w:szCs w:val="24"/>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00"/>
          </w:cols>
          <w:pgMar w:left="320" w:top="1305"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clinical programs, drug discovery efforts and related infrastructure.</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$6.3 million, which was primarily utilized for the funding of our operating expenses of $7.7 million as we incurred expenses associated with research and development activities including clinical trial activities associated with our bempikibart program. Non-cash expenses include stock-based compensation expense of $1.5 million, non-cash lease expenses of $0.2 million and depreciation expense of $0.1 million. The change in net operating assets and liabilities was primarily attributable to a decrease in accrued expenses and other current liabilities of $0.5 million, a decrease in accounts payable of $0.2 million and a decrease in the operating lease liability of $0.2 million, partially offset by a decrease in prepaid expenses and other current assets of $0.3 million.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$12.5 million, which was primarily utilized for the funding of our operating expenses of $12.2 million as we incurred expenses associated with research and development activities including clinical trial activities associated with our bempikibart program. Non-cash expenses include stock-based compensation expense of $1.3 million, non-cash lease expenses of $0.2 million and depreciation expense of $0.1 million, partially offset by a gain of $1.0 million recognized on the change in fair value of the CVR liability. The change in net operating assets and liabilities was primarily attributable to a decrease in accrued expenses and other current liabilities of $2.2 million, an increase in other noncurrent assets of $0.3 million and a decrease in accounts payable of $0.3 million, partially offset by a decrease in prepaid expenses and other current assets of $0.8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net cash used in or provided by investing activities for the three months ended March 31, 2026 or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financing activities consisted of $10.4 million of proceeds from the issuance of common stock in the Registered Direct Offering, slightly offset by payments of $1.6 million of principal payments made pursuant to our venture debt. There was no net cash used in or provided by financing activities for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advance the preclinical activities and clinical trials of our product candidates. In addition, we expect to continue to incur additional costs associated with operating as a public company.</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spacing w:after="0" w:line="54" w:lineRule="exact"/>
        <w:rPr>
          <w:sz w:val="20"/>
          <w:szCs w:val="20"/>
          <w:color w:val="auto"/>
        </w:rPr>
      </w:pPr>
    </w:p>
    <w:p>
      <w:pPr>
        <w:ind w:left="5540" w:right="80" w:hanging="5023"/>
        <w:spacing w:after="0" w:line="532"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bempikibart and conducting larger and later-stage clinical trials;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35" w:name="page36"/>
    <w:bookmarkEnd w:id="35"/>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derive value from collaborations, partnerships or other marketing, distribution, licensing, or other strategic arrangements with third parties on favorable terms, if at all;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if any.</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based on our current operating plan, our existing cash and cash equivalents, combined with proceeds received under the ATM subsequent to March 31, 2026, and guaranteed near-term milestone payments from the ADX-097 Asset Sale, will enable us to fund our operating expenses and capital expenditure requirements into the first half of 2028. Management based its projections of operating capital requirements on our current operating plan, which includes several assumptions that may prove to be incorrect, and we may use all of our available capital resources sooner than we expect.</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complete the development of our product candidates and to build the sales, marketing and distribution infrastructure that management believes will be necessary to commercialize our product candidates, if approved, we will require substantial additional capital. Accordingly, until such time that we can generate sufficient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recent bank failures. The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space under an operating lease for administrative offices and lab space in Waltham, Massachusetts, which expires in December 2031.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March 31, 2026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agreements with certain vendors for various services, including services related to preclinical and clinical operations and support, for which we are not contractually able to terminate for convenience and avoid any and all future obligations to the vendors. Our most significant contracts relate to agreements with CROs for clinical trials and preclinical studies and CDMOs, which we enter into in the normal course of business. Certain agreements provide for termination rights subject to termination fees or wind down costs.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 We do not include these payments in the table above as they are not fixed and estimable.</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we enter into standard indemnification agreements and/or indemnification sections in other agreements in the ordinary course of business. Pursuant to these agreements, we agree to indemnify, hold harmless and reimburse the indemnified party for losses suffered or incurred by the indemnified party, generally our business partners. The term of these indemnification agreements is generally perpetual upon execution of the agreement. The maximum potential amount of future payments we could be required to make under these indemnification agreements cannot be reasonably estimated and therefore is not included in the table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Bempikibart—License Agreement – Bristol-Myers Squibb Company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September 2019, Legacy Q32 entered into a license agreement, as amended in August 2021 and July 2022 (the “BMS License Agreement”) with Bristol-Myers Squibb Company (“BMS”), pursuant to which we obtained sublicensable licenses from BMS to research, develop and commercialize licensed products, including bempikibart, for any and all uses worldwide. The licenses granted to us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we are prohibited from engaging in certain clinical development or commercialization of any antibody other than a licensed compound with the same mechanism of action until the earlier of the expiration of our obligation to pay BMS royalties or September 2029.</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license, we made an upfront payment to BMS of $8 million, issued 318,278 Series A preferred shares to BMS and agreed to use commercially reasonable efforts to develop and commercialize at least one licensed product in key geographic markets. In addition, we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 (ii) 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(the “Royalty Term”). If we undergo a change of control prior to certain specified phase of development, the development and milestone payments are subject to increase by a low double digit percentage and the royalty rates are subject to increase by a low sub-single digit percentage.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we fail to meet our diligence obligations under the BMS License Agreement, for our insolvency, or if we or our affiliates challenges the validity, scope, enforceability, or patentability of any of the licensed patents. We may terminate the BMS License Agreement for any reason upon prior written notice to BMS, with a longer notice period if a licensed product has received regulatory approval. If the BMS Agreement is terminated for our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7" w:name="page38"/>
    <w:bookmarkEnd w:id="37"/>
    <w:p>
      <w:pPr>
        <w:ind w:right="100"/>
        <w:spacing w:after="0" w:line="261" w:lineRule="auto"/>
        <w:rPr>
          <w:sz w:val="20"/>
          <w:szCs w:val="20"/>
          <w:color w:val="auto"/>
        </w:rPr>
      </w:pPr>
      <w:r>
        <w:rPr>
          <w:rFonts w:ascii="Times New Roman" w:cs="Times New Roman" w:eastAsia="Times New Roman" w:hAnsi="Times New Roman"/>
          <w:sz w:val="18"/>
          <w:szCs w:val="18"/>
          <w:color w:val="auto"/>
        </w:rPr>
        <w:t>material breach, BMS will regain rights to bempikibart and we must grant BMS an exclusive license under our patent rights covering bempikibart, subject to a low single digit percentage royalty on net sales of bempikibart payable to us by BMS. We have the right to terminate the agreement for any reason upon written notice, and therefore, this agreement has not been included in the discussion above. In July 2024, we made a $4.0 million development milestone payment to BMS.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 Collaboration and Option Agreement, Asset Purchase Agreement and Termination Agreement – Horizon Therapeutics Ireland DAC</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Horizon Agreements,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Amgen completed the acquisition of Horizon plc. Following its acquisition of Horizon plc, Legacy Q32 agreed with Amgen to mutually terminate the Horizon Agreements and in November 2023, Legacy Q32 and Horizon entered into the Horizon Termination Agreement, pursuant to which Horizon’s option to acquire the bempikibart program was terminated. As a result, Legacy Q32 retained all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milestones payments of up to an aggregate amount of $75.1 million upon the first achievement of certain regulatory and sales milestones with respect to bempikibart.</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November 7, 2025, we entered into the Amgen Amendment pursuant to which we issued Horizon a one-time equity grant of 553,695 shares of our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ADX-097—License Agreement – The Regents of the University of Colorado</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2017, Legacy Q32 entered into an exclusive license agreement, as amended in February 2018, September 2018, and April 2019 (the “Colorado License Agreement”) with The Regents of the University of Colorado (“Colorado”), pursuant to which we obtained worldwide, royalty-bearing, sublicensable licenses under certain patents and know-how owned by Colorado and Medical University of South Carolina (“MUSC”), relating to the research, development and commercialization of ADX-097. The licenses granted to us are exclusive with respect to certain patent families and know-how and non-exclusive with certain other patent families and know-how. The licenses granted to us are also subject to certain customary retained rights of Colorado and MUSC and rights of the United States government owing to federal funding giving rise to inventions covered by the licensed patents. We agreed to use commercially reasonable efforts to develop, manufacture and commercialize ADX-097, including by using commercially reasonable efforts to achieve specified development and regulatory milestones by specified dates.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we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Our obligation to pay royalties to Colorado commences, on a licensed product-by-licensed product and country-by-country basis, from the first commercial sale of a licensed product in any country and expires on the later of (i) the last to expire valid claim within the licensed patents covering such licensed product in such country, and (ii) 20 years following the effective date of the Colorado License Agreement, or April 2037, or the Royalty Term.</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was amended and restated and all of our rights and obligations thereunder were transferred to Akebia.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GAAP. The preparation of our condensed consolidated financial statements and related disclosures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We consider many factors in selecting appropriate financial accounting policies and controls, and in developing the estimates and assumptions that are used in the preparation of these condensed consolidated financial statements. We must apply significant judgment in this process. In addition,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80"/>
        <w:spacing w:after="0" w:line="261" w:lineRule="auto"/>
        <w:rPr>
          <w:sz w:val="20"/>
          <w:szCs w:val="20"/>
          <w:color w:val="auto"/>
        </w:rPr>
      </w:pPr>
      <w:r>
        <w:rPr>
          <w:rFonts w:ascii="Times New Roman" w:cs="Times New Roman" w:eastAsia="Times New Roman" w:hAnsi="Times New Roman"/>
          <w:sz w:val="18"/>
          <w:szCs w:val="18"/>
          <w:color w:val="auto"/>
        </w:rPr>
        <w:t>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we must select an amount that falls within that range of reasonable estimates. Actual results could materially differ from those estimates.</w:t>
      </w:r>
    </w:p>
    <w:p>
      <w:pPr>
        <w:spacing w:after="0" w:line="178"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w:t>
      </w:r>
      <w:r>
        <w:rPr>
          <w:rFonts w:ascii="Times New Roman" w:cs="Times New Roman" w:eastAsia="Times New Roman" w:hAnsi="Times New Roman"/>
          <w:sz w:val="18"/>
          <w:szCs w:val="18"/>
          <w:i w:val="1"/>
          <w:iCs w:val="1"/>
          <w:color w:val="auto"/>
        </w:rPr>
        <w:t>Critical Accounting Policies and Significant Judgments and Estimates</w:t>
      </w:r>
      <w:r>
        <w:rPr>
          <w:rFonts w:ascii="Times New Roman" w:cs="Times New Roman" w:eastAsia="Times New Roman" w:hAnsi="Times New Roman"/>
          <w:sz w:val="18"/>
          <w:szCs w:val="18"/>
          <w:color w:val="auto"/>
        </w:rPr>
        <w:t>” in our Annual Report on Form 10-K for the year ended December 31, 2025. There were no material changes to our critical accounting policies during the three months ended March 31, 2026 from those discussed in our Annual Report on Form 10-K for the year ended December 31,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certain recently adopted accounting pronouncements that have or may potentially impact our financial position and results of operations is included in Note 2 to our unaudited condensed consolidated financial statements appearing elsewhere in this Quarterly Report on Form 10-Q. We have determined that the effects of any such pronouncements will not have a material impact on our condensed consolidated financial position and results of operations.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and, based on this evaluation, concluded that our internal control over financial reporting (as defined in Rules 13a-15(f) and 15d-15(f) under the Exchange Act) was effective as of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that occurred during the quarter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business. We record a liability for such matters when it is probable that future losses will be incurred and that such losses can be reasonably estimated. We are not currently party to any material legal proceedings.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and in our other filings with the Securities and Exchange Commission (the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Our actual results could differ materially from those anticipated in these forward-looking statements as a result of certain factors, including the risks we face as described below and elsewhere in this Quarterly Report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Capital</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expenditures and significant risks that any program will fail to demonstrate adequate efficacy or an acceptable safety profile, gain regulatory approval and become commercially viable. We have no products approved for commercial sale nor have we generated any revenue from product sales to date and we continue to incur significant research and development and other expenses related to our ongoing operations. We do not expect to generate product revenue unless or until it successfully completes clinical development and obtains regulatory approval of, and then successfully commercializes, at least one product candidate. We may never succeed in these activities and, even if it does, may never generate product revenue or revenues that are significant or large enough to achieve profitability. If we are unable to generate sufficient revenue through the sale of any approved products, it may be unable to continue operations without additional funding.</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incurred recurring operating losses since inception. Our net loss for the three months ended March 31, 2026 and 2025 was $7.6 million and $11.0 million, respectively. As of March 31, 2026, we had an accumulated deficit of approximately $212.6 million. We expect to continue to incur significant losses for the foreseeable future. Our operating expenses and net losses may fluctuate significantly from quarter to quarter and year to year.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programs through preclinical and clinical development, including expansion into additional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marketing approval, either by ourselves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commercial sales of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in-licenses products, intellectual property and technologies; and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current good manufacturing practices (“cGMP”) capabilities through a third-party or our own manufacturing facility.</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failure to become profitable would decrease our value and could impair our ability to raise capital, maintain our research and development efforts, expand our business and/or continue our operations. A decline in our value could also cause you to lose all or part of your investment.</w:t>
      </w:r>
    </w:p>
    <w:p>
      <w:pPr>
        <w:spacing w:after="0" w:line="266"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Developing biotechnology products is a very long, time-consuming, expensive and uncertain process that takes years to complete. Since inception, we have funded our operations primarily through private equity and debt financings and have incurred significant recurring losses. We expect our expenses to increase in connection with our ongoing activities, particularly as we conduct our clinical trials for bempikibart, initiate additional clinical trials, and continue to research, develop and conduct preclinical studies of our other potential product candidates, and continue to operate as a public company. In addition, if we obtain regulatory approval for any product candidate for commercial sale,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and many of our near-term plans are subject to regulatory feedback,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incur costs associated with operating as a public company. We will require substantial additional funding to continue our operations. Based on our current operating plan, we believe that our existing cash and cash equivalents, combined with proceeds received under the ATM subsequent to March 31, 2026, and guaranteed near-term milestone payments from the ADX-097 Asset Sale, should be sufficient to fund our operations into the first half of 2028. We have based this estimate on assumptions that may prove to be wrong, and we could use our available capital resources sooner than we currently expect. Our future capital requirements will depend on many factors, including:</w:t>
      </w:r>
    </w:p>
    <w:p>
      <w:pPr>
        <w:spacing w:after="0" w:line="75" w:lineRule="exact"/>
        <w:rPr>
          <w:sz w:val="20"/>
          <w:szCs w:val="20"/>
          <w:color w:val="auto"/>
        </w:rPr>
      </w:pPr>
    </w:p>
    <w:p>
      <w:pPr>
        <w:ind w:left="1020" w:right="4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our ongoing Phase 2 clinical trial for bempikibart in alopecia areata (“AA”);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acceptable safety profile with IND-enabling toxicology studies to enable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larger and later-stage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subject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subjects in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and discontinuation rate of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subject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encounter any serious adverse events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and post-marketing approval commitments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or maintain collaborations, strategic partnerships, or other strategic arrangements with third parties, if any, and the performance of any such third parties in connection therewith;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research and development personnel;</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arrangements with our contract development and manufacturing organizations (“CDMOs”), and contract research organizations (“CROs”);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 and commercial-grade drug formulations that can be used in our planned clinical trials and for commercial launch, respectively;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and we may be required to seek additional funds sooner than planned through public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our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or refinancing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Our ability to raise additional capital may be adversely impacted by global macroeconomic conditions and volatility in the credit and financial markets in the U.S. and worldwide, over which we may have no or little control. Our failure to raise capital as and when needed or on acceptable terms would have a negative impact on our financial condition and ability to pursue our business strategy, and we may have to delay, reduce the scope of, suspend or eliminate clinical trials, product development programs or future commercialization efforts.</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limited operating history. Since our inception in 2017, we have incurred significant operating losses and have utilized substantially all of our resources to conduct research and development activities (including with respect to our bempikibart program) and undertake preclinical studies of product candidates, as well as for conducting clinical trials of our most advanced product candidates and the manufacturing of such product candidates, business planning, developing and maintaining our intellectual property portfolio, hiring personnel, raising capital, and providing general and administrative support for these activities. We have limited significant experience as a company in initiating, conducting or completing clinical trials. In part because of this lack of experience, we cannot be certain that our current and planned clinical trials will begin or be completed on time, if at all. We have not yet demonstrated our ability to successfully complete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3" w:name="page44"/>
    <w:bookmarkEnd w:id="43"/>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we plan to address with bempikibart or other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and biologics is highly competitive. Our product candidates may compete with other product candidates in development for similar indications, and if approved, bempikibart or other product candidates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bempikibart or other product candidates.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programs and processes competitive with bempikibart or other product candidates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any products we may develop, if any, or if competitors develop competing products or if generic products or biosimilars enter the market more quickly than we are able to, if at all, and are able to gain market acceptance.</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bempikibart and the rest of our pipeline are in the early stages of development. As a result, we expect it will be many years before we commercialize any product candidate, if any. Our ability to achieve and sustain profitability depends on obtaining regulatory approvals for, and successfully commercializing, bempikibart or other product candidates either alone or with third parties, and we cannot guarantee that we will ever obtain regulatory approval for any product candidates. We have limited experience as a company in conducting and managing the clinical trials necessary to obtain regulatory approvals, including approval by the FDA or comparable foreign regulatory authorities. We have also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and efficacy in humans of such product candidates.</w:t>
      </w:r>
    </w:p>
    <w:p>
      <w:pPr>
        <w:spacing w:after="0" w:line="18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clinical trials. We or our collaborators also may experience numerous unforeseen events during, or as a result of, any current or future clinical trials that could delay or prevent our ability to receive marketing approval or commercialize bempikibart or any other product candidates, including: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the FDA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our product candidates may be larger than we anticipate, especially if regulatory bodies require completion of non-inferiority or superiority trials compared to approved products, enrollment in these clinical trials may be slower than we anticipate or subjects may drop out of these clinical trials or fail to return for post-treatment follow-up at a higher rate than we anticipate;</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or expand the scope of our planned clinical trials to accrue sufficient data from such trials;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clinical trials of our product candidates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sufficient quantities of our product candidates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as well as data emerging from other therapies in the same class as our product candidates;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Commencing clinical trials in the U.S. is subject to the FDA allowing an Investigational New Drug Application (“IND”) to proceed after an evaluation of the proposed clinical trial design. In the event that the FDA requires us to complete additional preclinical studies or we are required to satisfy other FDA requests prior to commencing clinical trials, the start of our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comparable processes and risks applicable to clinical trial applications needed to initiate clinical trials in other countries, including countries in the European Union (“EU”).</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or to modify existing or enter into new collaborations for, a product candidate if we experience any issues that delay or prevent regulatory approval of, or our ability to commercialize, bempikibart or any other product candidates. We or our current or future collaborators’ inability to complete development of, or commercialize, bempikibart or any other product candidates or significant delays in doing so, could have a material and adverse effect on our business, financial condition, results of operations and prospects.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most advanced product candidate, bempikibart, and our clinical trials of our lead candidate may not be 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future success is substantially dependent on our, or our current or future strategic partners’, ability to timely obtain marketing approval for, and then successfully commercialize, our most advanced product candidate, bempikibart. We are investing a majority of our efforts and financial resources into the research and development of bempikibart. We are developing bempikibart to treat autoimmune and inflammatory diseases, with the aim of achieving the optimal balance of efficacy, tolerability and convenience for patients via infrequently administered subcutaneous doses. We have completed a Phase 1 double-blind, placebo-controlled, single ascending dose and multiple dose study to assess the safety, pharmacokinetic (“PK”) and pharmacodynamic (“PD”) of bempikibart after subcutaneous administration in healthy subjects. This study supported further evaluation of bempikibart, including through demonstration of a PK/PD profile supporting evaluation of every two-week subcutaneous dosing in clinical trials. Subsequent to this study, we advanced bempikibart into two Phase 2a clinical trials. The Phase 2a SIGNAL-AD trial evaluated the use of bempikibart for the treatment of atopic dermatitis (“AD”) and the Phase 2a SIGNAL-AA trial is evaluating bempikibart for the treatment of alopecia areata (“AA”). We completed enrollment and dosing through the 12-week and 24-week periods for the SIGNAL-AD and SIGNAL-AA trials, respectively, and in December 2024, we announced topline data from both clinical trials, as well as our intention to advance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120"/>
        <w:spacing w:after="0" w:line="258" w:lineRule="auto"/>
        <w:rPr>
          <w:sz w:val="20"/>
          <w:szCs w:val="20"/>
          <w:color w:val="auto"/>
        </w:rPr>
      </w:pPr>
      <w:r>
        <w:rPr>
          <w:rFonts w:ascii="Times New Roman" w:cs="Times New Roman" w:eastAsia="Times New Roman" w:hAnsi="Times New Roman"/>
          <w:sz w:val="18"/>
          <w:szCs w:val="18"/>
          <w:color w:val="auto"/>
        </w:rPr>
        <w:t>bempikibart for the treatment of AA. In April 2025, we announced dosing of the first patients in both the Part A open-label extension and Part B of the SIGNAL-AA Phase 2a clinical trials and in October 2025, we announced completion of enrollment in Part B of the SIGNAL-AA Phase 2a clinical trial. The success of bempikibart may depend on having a comparable safety and efficacy profile and a more favorable dosing schedule (i.e., less frequent dosing) with patient-friendly administration (i.e., S.C. self-administration) to products currently approved or in development for the indications we plan to pursue.</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previously completed a Phase 1 clinical trial of ADX-097 in healthy volunteers and initiated a Phase 2 clinical trial of this candidate. However, in November 2025, we sold to Akebia substantially all of our assets related to the research, development, manufacture and commercialization of ADX-097. Following the sale, Akebia is now responsible for any future development and commercialization of ADX-097.</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Bempikibart will require additional clinical development, evaluation of clinical and manufacturing activities, marketing approval in multiple jurisdictions, substantial investment and significant marketing efforts before we generate any revenues from product sales, if any. We are not permitted to market or promote any product candidates, before we receive marketing approval from the FDA and/or comparable foreign regulatory authorities, and we may never receive such marketing approvals.</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success of bempikibart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or other third party. Accordingly, we cannot guarantee that we will ever be able to generate revenue through the sale of any of our product candidates, even if approved. If we are not successful in commercializing bempikibart, or are significantly delayed in doing so, our business will be materially harmed.</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bempikibart or any other product candidates may be delayed.</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preclinical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bempikibart or any other product candidates may be delayed or never achieved.</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build a pipeline of product candidates with commercial value.</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approach to the discovery and/or development of bempikibart leverages the understanding of cytokine and complement biology in diverse tissues and indications. Bempikibart is directed at target pathways, IL-7 and thymic stromal lymphopoietin (“TSLP”) signaling, that have been implicated in several inflammatory and autoimmune diseases. However, the scientific research that forms the basis of efforts to develop bempikibart is ongoing and has not been successfully proven in clinical trials. The long-term safety and exposure profile of bempikibart is also unknown.</w:t>
      </w:r>
    </w:p>
    <w:p>
      <w:pPr>
        <w:spacing w:after="0" w:line="180"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We may ultimately discover that our technologies for our specific targets and indications and bempikibart and any product candidates resulting therefrom do not possess certain properties required for therapeutic effectiveness. For our lead candidate, we currently have only data from our Phase 1 clinical trial and our Phase 2 Part A AA and AD clinical trials, and the same data or results may not be seen in larger, later-stage clinical trials. In addition, product candidates using investigational technologies and approaches may demonstrate different chemical and pharmacological properties in patients than they do in laboratory studies and bempikibart may interact with human biological systems in unforeseen, ineffective or possibly harmful ways.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product candidates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product candidates. We and our existing or future collaborators may never receive approval to market and commercialize bempikibart or future product candidates.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non-human primates (“NHPs”) to conduct certain preclinical studies that we are required to complete prior to submitting an IND and initiating clinical development. There is currently a global shortage of certain types of NHPs available for Good Laboratory Practice (“GLP”) testing for drug development. This could cause the cost of obtaining NHPs for our future preclinical studies to increase significantly, and if the shortage continues, and could result in delays to our development timelines. 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are currently conducting an “open-label” clinical trial. An open-label trial is one where both the patient and investigator know whether the patient is receiving the investigational product candidate. Such trials may test only the investigational product candidate and sometimes may do so at different dose levels. Open-label trials are subject to various limitations that may exaggerate any therapeutic effect as patients in such trials are aware when they are receiving treatment. Open-label trials may be subject to a “patient bias” where patients perceive their symptoms to have improved merely due to their awareness of receiving an experimental treatment. In addition, open-label trials may be subject to an “investigator bias” where those assessing and reviewing the physiological outcomes of the trials are aware of which patients have received treatment and may interpret the information of the treated group more favorably given this knowledge. The results from an open-label trial may not be predictive of future clinical trial results with our product candidates when studied in a controlled environment with a placebo or active control. In addition, we expect to rely on patients to provide feedback on measures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Although we plan to seek regulatory guidance in designing and conducting our development plans, we cannot be sure that the FDA or comparable foreign regulatory authorities will agree with these plans. If the FDA or comparable regulatory authorities requires us to revise or amend a clinical trial, generate additional pre-clinical data in support of clinical conduct (e.g., toxicology studies), conduct additional trials or enroll additional patients, our development timelines may be delayed. We cannot be sure that submission of an IND,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w:t>
      </w:r>
    </w:p>
    <w:p>
      <w:pPr>
        <w:spacing w:after="0" w:line="7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study design or implementation of the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regulatory authorization to commence a trial;</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or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patient enrollment in our clinical trials for a variety of reasons;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protocols;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(“GCPs”), or regulations or applicable regulations or regulatory guidelines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CDMO, and delays or failure by our CDMOs or us to make any necessary changes to such manufacturing processes;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placed on clinical hold, suspended or terminated by us, the FDA, the competent authorities of the EU Member States or other regulatory authorities or the IRBs or ethics committees of the institutions in which such trials are being conducted, if a clinical trial is recommended for suspension or termination by the data safety monitoring board (“DSMB”), or equivalent body for such trial, or on account of changes to federal, state, or local laws. If we are required to conduct additional clinical trials or other testing of bempikibart or any other product candidates beyond those that we contemplate, if we are unable to successfully complete clinical trials of bempikibart or any other product candidates, if the results of these trials are not positive or are only moderately positive or if there are safety concerns, our business and results of operations may be adversely affected and we may incur significant additional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key part of our long-term business strategy is to identify and develop additional product candidates. Our preclinical research and clinical trials may initially show promise in identifying potential product candidates yet fail to yield product candidates for clinical development for a number of reasons. For example, we may be unable to identify or design additional product candidates with the pharmacological and pharmacokinetic drug properties that we desire, including, but not limited to, adequate tissue targeting, acceptable safety profile or the potential for the product candidate to be delivered in a convenient formulation. Research programs to identify new product candidates require substantial technical, financial, and human resources. If we are unable to identify suitable complement targeting strategies for preclinical and clinical development, we may not be able to successfully implement our business strategy, and may have to delay, reduce the scope of, suspend or eliminate one or more of our product candidates, clinical trials or future commercialization efforts, which would negatively impact our financial condition.</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the ability to enroll a sufficient number of patients who remain in the trial until its conclusion. The enrollment of patients in future trials for bempikibart or any other product candidates will depend on many factors, including 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 Additionally, the number of patients required for clinical trials of bempikibart or any other product candidates may be larger than we anticipate, especially if regulatory bodies require the completion of non-inferiority or superiority trials compared to approved products.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becomes available and are subject to audit and verification procedures.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Any preliminary or topline data should be viewed with caution until the final data is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bempikibart or any other product candidate may be harmed, which could harm our business, operating results, prospects or financial condition.</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clinical trials or those of our future collaborators may reveal significant adverse events or undesirable side effects not seen in our preclinical and/or early clinical studies and may result in a safety profile that could halt clinical development, inhibit regulatory approval or limit commercial potential or market acceptance of any of bempikibart or any other product candidates or result in potential product liability claims.</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adverse events or unexpected characteristics. While our completed preclinical studies and our completed and ongoing clinical trials in humans have not shown any such characteristics to date, significant further evaluation must be done of each of our product candidates. If significant adverse events or other side effects are observed in any of our current or future clinical trials, we may have difficulty recruiting patients to such trials, patients may drop out of our trials, patients may be harmed, or we may be required to abandon the trials or our development efforts of one or more product candidates altogether. We, the FDA, the European Medicines Agency (the “EMA”), or other applicable regulatory authorities, or an IRB or ethics committee, may suspend any clinical trials of bempikibart or any other product candidates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Treatment-emergent adverse events could also affect patient recruitment or the ability of enrolled subjects to complete our clinical trials or could result in potential product liability claims. Potential side effects associated with bempikibart or any other product candidates may not be appropriately recognized or managed by the treating medical staff, as toxicities resulting from bempikibart or any other product candidates may not be normally encountered in the general patient population and by medical personnel. Any of these occurrences could harm our business, financial condition, results of operations and prospects significantly.</w:t>
      </w:r>
    </w:p>
    <w:p>
      <w:pPr>
        <w:spacing w:after="0" w:line="1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successfully advance bempikibart or any other product candidates through clinical trials, such trials will only include a limited number of patients and limited duration of exposure to such product candidates. As a result, we cannot be assured that adverse effects of bempikibart or any other product candidates will not be uncovered when a significantly larger number of patients are exposed to such product candidate after approval. Further, any clinical trials may not be sufficient to determine the effect and safety consequences of using our product candidate over a multi-year period.</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bempikibart or any other product candidates prove to be unsafe, our entire pipeline could be affected, which would have a material adverse effect on our business, financial condition, results of operations and prospects.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such as bempikibart, and fail to capitalize on candidates that may be more profitable or for which there is a greater likelihood of success.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our research and development efforts on certain selected product candidates. For example, we initially focused on our most advanced product candidates, bempikibart and ADX-097, and in November 2025, we sold to Akebia substantially all of our assets related to the research, development, manufacture and commercialization of ADX-097. As a result, we may forgo or delay pursuit of opportunities with other potential candidates that may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regulatory approval is obtained, any approved products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bempikibart or any other product candidates,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AA. Market participants with significant influence over acceptance of new treatments, such as clinicians and third-party payors, may not adopt a drug or biologic with a target product profile such as that of bempikibart for its targeted indications, and we may not be able to convince the medical community and third-party payors to accept and use, or to provide favorable reimbursement for, any product candidates developed by us or our existing or future collaborators. Market acceptance of bempikibart or any other product candidates will depend on many factors, including factors that are not within our control.</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Sales of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cost effective or less burdensome as compared with competing treatments. If bempikibart or any other product candidate is approved but does not achieve an adequate level of acceptance by such parties, we may not generate or derive sufficient revenue from that product and may not become or remain profitable.</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may lack the necessary expertise, personnel and resources to successfully commercialize a product candidate on our own or together with suitable collaborators.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a product candidate, which we may license to others, we may rely on the assistance and guidance of those collaborators. For a product candidate for which we retain 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us,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w:t>
      </w:r>
    </w:p>
    <w:p>
      <w:pPr>
        <w:spacing w:after="0" w:line="2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completed any late-stage clinical trials and we may not be able to submit applications for regulatory authorizations to commence additional clinical trials on the timelines we expect, and, even if we are able to, the FDA, EMA or comparable foreign regulatory authorities may not permit us to proceed and could also suspend/terminate the trial after it has been initiated.</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early in our development efforts and will need to successfully complete later-stage and pivotal clinical trials in order to obtain FDA, EMA or comparable foreign regulatory approval to market our product candidates. Carrying out clinical trials and the submission of a successful IND or CTA is a complicated process. As an organization, we have limited experience as a company in preparing, submitting and prosecuting regulatory filings. We may not be able to initiate or complete our planned clinical trials in accordance with our desired timelines. For example, we may experience manufacturing delays or other delays with IND-or CTA-enabling studies, including with suppliers, trial sites, or third-party contractors and vendors on whom we depend. Moreover, we cannot be sure that submission of an IND or a CTA or submission of a trial to an IND or a CTA will result in the FDA or EMA or comparable foreign regulatory authorities allowing further clinical trials to begin, or that, once begun, issues will not arise that lead us to suspend or terminate clinical trials. Upon submission of an IND or CTA, the FDA or EMA may recommend changes to the proposed trial designs, which may impact the number and size of registrational clinical trials required to be conducted in such development programs and may change predicted timelines for clinical development. Consequently, we may be unable to successfully and efficiently execute and complete necessary clinical trials in a way that leads to regulatory submission and approval of our product candidates. Additionally, even if regulatory authorities agree with the design and implementation of the clinical trials set forth in an IND or a CTA, such regulatory authorities may change their requirements in the future. The FDA, EMA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file INDs or CTAs, initiate clinical trials, or obtain regulatory authorizations for our trials may prevent us from completing our clinical trials or commercializing our products on a timely basis, if at all. We are subject to similar risks related to the review and authorization of our protocols and amendments by comparable foreign regulatory authorities.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to prevent third parties from infringing on our patents and trademarks or misappropriating or violating our other intellectual property rights, thus eroding our competitive position in our market. Our success depends in large part on our ability to obtain and maintain patent protection for our product candidates and their uses, components, formulations, methods of manufacturing and methods of treatment, as well as our ability to operate without infringing on or violating the proprietary rights of others. We have licensed know-how and patent families that pertain to, among other things, composition of matter and certain methods of use relating to our leading product candidate, bempikibart. We seek to protect our proprietary position by filing patent applications in the United States and abroad related to our product candidates and novel discoveries that are important to our business. Our intellectual property strategy is, where appropriate, to file new patent applications on inventions, including improvements to existing products candidates and processes to improve our competitive edge or to improve business opportunities. We continue to assess and refine our intellectual property strategy to ensure appropriate protection and rights are secured. However,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biotechnology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the composition of matter of our product candidates will be considered patentable by the United States Patent and Trademark Office, or USPTO, or by patent offices in foreign jurisdictions, or that the claims in any of our issued patents will be considered valid and enforceable by courts in the United States or foreign jurisdictions.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current or future patent applications may not result in patents being issued which protect our technology or drug candidates or which do not effectively prevent others from commercializing competitive technologies and drug candidates. The patent examination process may require us or our licensors to narrow the scope of our claims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from being issued as a patent.</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ensure that it is valid or enforceable, nor does it give us the right to practice the patented invention. Issued patents may be challenged, narrowed, invalidated or circumvented and third parties may have blocking patents that could prevent us from commercializing our product candidates or technologies. While we endeavor to identify and circumvent third-party patents and patent applications which may block our product candidates or technologies to minimize this risk, relevant documents may be overlooked or missed, which may in turn impact our ability to commercialize the relevant asset. In addition, court decisions may introduce uncertainty in the enforceability or scope of patents owned by pharmaceutical and biotechnology companies. Thus, any of our issued patents, including patents that we may rely on to protect our market for approved drugs, may be held invalid or unenforceable by a court of final jurisdiction.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third party may also claim that our patent rights are invalid or unenforceable in a litigation. The outcome following legal assertions of invalidity and unenforceability is unpredictable. An adverse result in any legal proceeding could put one or more of our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Because patent applications in the U.S., Europe and many other jurisdictions are typically not published until 18 months after filing, and because publications of discoveries in scientific literature lag behind actual discoveries, we cannot be certain that we were the first to make the inventions claimed in our issued patents or future patent applications, or that we were the first to file for protection of the inventions set forth in our patents or patent applications. As a result, we may not be able to obtain or maintain protection for certain inventions. Therefore, the enforceability and scope of our future patents in the U.S., Europe and in many other jurisdictions cannot be predicted with certainty and, as a result, any future patents that we own, or license may not provide sufficient protection against competitors. We may not be able to obtain or maintain patent protection from our patent applications that we may file in the future, or from those we may license from third parties. Moreover, even if we are able to obtain patent protection, such patent protection may be of insufficient scope to achieve our business objectives.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8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dependent on patents rights, know-how and proprietary technology licensed from third parties. In particular, we depend substantially on our license agreement with Bristol Myers Squibb Company (“BMS”), under which we in-license patent rights and know-how that cover bempikibart (the “BMS Agreement”). For more information regarding the BMS Agreement, please see the section titled “</w:t>
      </w:r>
      <w:r>
        <w:rPr>
          <w:rFonts w:ascii="Times New Roman" w:cs="Times New Roman" w:eastAsia="Times New Roman" w:hAnsi="Times New Roman"/>
          <w:sz w:val="18"/>
          <w:szCs w:val="18"/>
          <w:i w:val="1"/>
          <w:iCs w:val="1"/>
          <w:color w:val="auto"/>
        </w:rPr>
        <w:t>Business– Collaboration and License Agreements</w:t>
      </w:r>
      <w:r>
        <w:rPr>
          <w:rFonts w:ascii="Times New Roman" w:cs="Times New Roman" w:eastAsia="Times New Roman" w:hAnsi="Times New Roman"/>
          <w:sz w:val="18"/>
          <w:szCs w:val="18"/>
          <w:color w:val="auto"/>
        </w:rPr>
        <w:t>” in our Annual Report on Form 10-K for the year ended December 31, 2025. We may also enter into additional agreements with third parties in the future.</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current and future license agreements may impose diligence, development and commercialization timelines, milestone payments, royalties, indemnification, insurance, or other obligations on us. For example, under the BMS License Agreement, the counterparty may terminate the agreement if we fail to meet our diligence obligations, including using commercially reasonable efforts to meet diligence milestones by specified dates. If we fail to comply with our obligations to our licensors or collaborators, our counterparty may have the right to terminate this agreement. Termination of this agreement or reduction or elimination of our rights under this agreement may result in us having to negotiate a new or reinstated agreement with less favorable terms, or cause us to lose our rights under this agreement, including our rights to important intellectual property or technology that are necessary for our business.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patent filings relating to our product candidates may be subject to step-in rights of certain of our licensors. We may have limited control over our licensor’s activities or use or licensing of any other intellectual property that may be related to our in-licensed intellectual property.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claims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and in some cases, their co-owners,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0"/>
        <w:spacing w:after="0" w:line="282" w:lineRule="auto"/>
        <w:rPr>
          <w:sz w:val="20"/>
          <w:szCs w:val="20"/>
          <w:color w:val="auto"/>
        </w:rPr>
      </w:pPr>
      <w:r>
        <w:rPr>
          <w:rFonts w:ascii="Times New Roman" w:cs="Times New Roman" w:eastAsia="Times New Roman" w:hAnsi="Times New Roman"/>
          <w:sz w:val="18"/>
          <w:szCs w:val="18"/>
          <w:color w:val="auto"/>
        </w:rPr>
        <w:t>applications, enforcement of licensed patents, or defense of claims asserting the invalidity of those patents, we may still be adversely affected or prejudiced by actions or inactions of our licensors and their counsel that took place prior to or after assuming control.</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that our third party licensors determine that, in spite of our efforts, we have materially breached a license agreement or have failed to meet certain obligations thereunder, it may elect to terminate the license agreement or, in some cases, one or more license(s) under the applicable license agreement. Such termination could result in us losing the ability to develop and commercialize product candidates and technology covered by the licensed intellectual property. In the event of such termination of a third-party in-license, or if the underlying patent rights under a third-party in-license fail to provide the intended exclusivity, third parties may be able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Any of these events could have a material adverse effect on our competitive position, business, financial conditions, results of operations and prospects.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our current or future license agreements are terminated, or if the underlying patent rights fail to provide the intended exclusivity, competitors or other third parties may be able to seek regulatory approval of, and to market, products identical to ours and we may be required to cease the development and commercialization of our product candidates. Any of the foregoing could have a material adverse effect on our competitive position, business, financial condition, results of operations and prospects. Disputes may arise regarding intellectual property subject to a licensing agreement,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misappropriate or violate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rights to third parties under our license agreements or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the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 and us and our partners;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license agreements may be subject to certain rights retained by third parties.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or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addition, the United States federal government retains certain rights in inventions produced with its financial assistance under the Patent and Trademark Law Amendments Act (the “Bayh-Dole Act”), including a “nonexclusive, nontransferable, irrevocable, paid-up license” for its own benefit. We may at times choose to collaborate with academic institutions to accelerate our preclinical research or development that are subject to the Bayh-Dole Act.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non-United States product manufacturers for products covered by such intellectual property. Any exercise by the government of any of the foregoing rights could harm our competitive position, business, financial condition,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current or future licensors pending patent applications will issue or that patents based on us or any of our current future licensors patent applications will not be challenged and rendered invalid and/or unenforceable.</w:t>
      </w:r>
    </w:p>
    <w:p>
      <w:pPr>
        <w:spacing w:after="0" w:line="6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potential future licensors or collaborators will be successful in protecting our product candidates by obtaining and defending patents. We have several pending United States and foreign patent applications in our portfolio. We cannot predict:</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United States or in other foreign countries.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or any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future licensors’ patent claims or, if issued, affect the validity or enforceability of a patent claim. Even if the patents do issue based on our or any future licensors’ patent applications, third parties may challenge the validity, enforceability or scope thereof, which may result in such patents being narrowed, invalidated or held unenforceable. Furthermore, even if they are unchallenged, patents in our or any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our patents and licensed patents and may not be able to protect our intellectual property rights throughout the world.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 and the legal systems in certain countries may not favor enforcement or protection of patents, trade secrets and other intellectual property. Patents are of national or regional effect, and although we currently have issued patents and pending applications in the United States,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of our licensors’ inventions in all countries outside the United States, even in jurisdictions where we or any of our current or future licensors do pursue patent protection, or from selling or importing products made using our or any of our licensors’ inventions in and into the United States or other jurisdictions. Competitors may use our or any of our licensors’ technologies in jurisdictions where we have not obtained patent protection to develop their own products and, further, may export otherwise infringing products to territories where we or any future licensors have patent protection, but enforcement is not as strong as that in the United States. These competitor products may compete with our product candidates, and our or any of our licensors’ patents or other intellectual property rights may not be effective or sufficient to prevent them from competing.</w:t>
      </w:r>
    </w:p>
    <w:p>
      <w:pPr>
        <w:spacing w:after="0" w:line="1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our licensors’ patents or marketing of competing products in violation of our proprietary rights.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some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Certain countries outside the United States have laws that may impact a patent owner’s right to claim priority or require a patent applicant to obtain a foreign filing license or first file patent applications in a foreign jurisdiction to the extent that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foreign laws, which could result in the rejection of pending applications or invalidation of issued patents. 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98"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 Patent and Trademark Office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drug candidates or if we or our licensors otherwise allow our patents or patent applications to be abandoned or lapse, our competitors might be able to enter the market, which would hurt our competitive position and could impair our ability to successfully commercialize our drug candidates in any indication for which they are approved.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issued patents that we may license or own covering our product candidates could be narrowed or found invalid or unenforceable if challenged in court or before administrative bodies in the U.S. or abroad, including the USPTO. Patent terms, including any extensions or adjustments that may or may not be available to us, may be inadequate to protect our competitive position with respect to our product candidates for an adequate amount of time, and we may be subject to claims challenging the inventorship, validity, enforceability of our patents and/or other intellectual property.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the European Patent Office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with respect to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Once patents covering our product candidates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U.S. under the Hatch-Waxman Act and in foreign countries under similar legislation, thereby potentially extending the term of our marketing exclusivity for our product candidates, if approved, our business may be materially harmed.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 on patents covering such product candidates, there is no guarantee that the applicable authorities will agree with our assessment of whether such extension should be granted, and even if granted, the length of such extension.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Licensed Biological Products with Reference Product Exclusivity and Biosimilarity or Interchangeability Evaluations (the “Purple Book”), a searchable, online database that contains information about biological products, including biosimilar and interchangeable biological products, licensed (approved) by the FDA under the Public Health Service Act. We may be unable to obtain patents covering our product candidates that contain one or more claims that satisfy the requirements for listing in the Purple Book. Even if we submit a patent for listing in the Purple Book, the FDA may decline to list the patent, or a manufacturer of generic drugs may challenge the listing. If any of our product candidates are approved and patents covering such product candidates are not listed in the Purple Book, a manufacturer of generic drugs would not have to provide advance notice to us of any abbreviated new drug application filed with the FDA to obtain permission to sell a generic version of such product candidates.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U.S. and other jurisdictions could diminish the value of patents in general, thereby impairing our ability to protect our intellectual property.</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Act, the U.S.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invalid based on these decisions, we cannot predict how future decisions by the courts, the U.S.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in 2012, the European Union Patent Package (“EU Patent Package”) regulations were passed with the goal of providing a single pan-European Unitary Patent (“UP”), covering all participating European Union member states, and a new European Unified Patent Court, UPC, for litigation involving European patents including all UPs.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if not opted out.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before the prescribed deadlines, our future European patents could remain under the jurisdiction of the UPC. The UPC will provide our competitors with a new forum to centrally revoke its European patents that have not been opted out,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if approved.</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third party patents, the scope of said patent claims or the expiration of relevant patents, are complete, accurate or thorough, nor can we be certain that we have identified each and every third-party patent and pending application in the U.S. and abroad that is relevant to or necessary for the commercialization of our product candidates, if approved, in any jurisdiction.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U.S. may be maintained in secrecy until the patents are issued,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 candidates or technology similar to ours. Any such patent application may have priority over our patent applications or patents, which could require us to obtain rights to issued patents covering such product candidates or technologies.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any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it may be unsuccessful in executing such an agreement with each party who, in fact, conceives or develops intellectual property that we regard as our own. The assignment of intellectual property rights may not be self-executing, or the assignment agreements may be breached or challenged,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it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right="400"/>
        <w:spacing w:after="0" w:line="282" w:lineRule="auto"/>
        <w:rPr>
          <w:sz w:val="20"/>
          <w:szCs w:val="20"/>
          <w:color w:val="auto"/>
        </w:rPr>
      </w:pPr>
      <w:r>
        <w:rPr>
          <w:rFonts w:ascii="Times New Roman" w:cs="Times New Roman" w:eastAsia="Times New Roman" w:hAnsi="Times New Roman"/>
          <w:sz w:val="18"/>
          <w:szCs w:val="18"/>
          <w:color w:val="auto"/>
        </w:rPr>
        <w:t>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26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or trademarks or misappropriate or violate our other intellectual property rights. To counter infringement, misappropriation or unauthorized use, we or any future licensors may be required to file infringement or misappropriation claims, which can be expensive and time consuming and divert the time and attention of our management and scientific personnel. We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infringed their patents, in addition to counterclaims asserting that our patents or any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obviousness-type double patenting,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 or any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or any future licensors’ patents could limit our ability to assert our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it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third-party claims of intellectual property infringement, misappropriation or violation, which may prevent or delay our product discovery and development efforts.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avoiding infringement of the patents or trademarks and misappropriation or violation of other proprietary rights of third parties. There is a substantial amount of litigation involving the infringement of patents or trademarks and misappropriation or violation of other intellectual property rights in the biotechnology and pharmaceutical industries. We may be exposed to, or threatened with, future litigation by third parties having patent, trademark or other intellectual property rights and who allege that our product candidates, uses and/or other proprietary technologies infringe their patents or trademarks or misappropriate or violate their other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a third party alleges that we infringed its patents or trademarks or misappropriate or violate its other intellectual property rights, we may face a number of issues, including, but not limited to:</w:t>
      </w:r>
    </w:p>
    <w:p>
      <w:pPr>
        <w:spacing w:after="0" w:line="54" w:lineRule="exact"/>
        <w:rPr>
          <w:sz w:val="20"/>
          <w:szCs w:val="20"/>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trademark infringement and other intellectual property misappropriation or violation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violation, which we may have to pay if a court decides that the product candidate or technology at issue infringes on, misappropriates or violates the third-party’s rights;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 candidates or processes;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patents or trademarks or misappropriate or violate other third party intellectual property rights, an undertaking which may not be possible or which may require substantial monetary expenditures and time.</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its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which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its proprietary know-how. If a competitor independently develops a technology that we protect as a trade secret and files a patent application on that technology, then we may not be able to patent that technology in the future, may require a license from the competitor to use its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9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These lawsuits may consume our time and other resources even if we are successful. For example, significant elements of our products, including confidential aspects of sample preparation, methods of manufacturing, cell culturing conditions, computational-biological algorithms, and related processes and software, are based on unpatented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or consultants have wrongfully used or disclosed confidential information of our competitors or are in breach of non-competition or non-solicitation agreements with our competitors. These claims may be costly to defend and if we do not successfully do so, it may be required to pay monetary damages and may lose valuable intellectual property rights or personnel.</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or are concurrently employed at universities 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A loss of key research personnel or their work product could hamper our ability to develop and commercialize, or prevent us from developing and commercializing, our product candidates, which could severely harm our business.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Uncertainties resulting from the initiation and continuation of patent litigation or other intellectual property related proceedings could adversely affect our ability to compete in the marketplace.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future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7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may file or license may not lead to issued patents;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own or license, may not provide us with any competitive advantages, or may be challenged and held invalid or unenforceable;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a pending patent application that we own or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U.S. without first obtaining regulatory approval from the FDA. Similarly, we cannot commercialize product candidates outside of the U.S. without obtaining regulatory approval from comparable foreign regulatory authorities. Before obtaining regulatory approvals for the commercial sale of our product candidates, including our most advanced product candidate, bempikibart, we must demonstrate through lengthy, complex and expensive preclinical and clinical trials that such product candidates are both safe and effective for each targeted indication. Securing regulatory approval also requires the submission of information about the drug manufacturing process to, and inspection of manufacturing facilities by, the relevant regulatory authority. Further, a product candidate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A product candidate could be delayed in receiving, or fail to receive, regulatory approval for many reasons, including:</w:t>
      </w:r>
    </w:p>
    <w:p>
      <w:pPr>
        <w:spacing w:after="0" w:line="8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our proposed indication;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a product candidate, which may result in inquiries from or actions by regulatory authorities to address such events;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candidate’s clinical and other benefits outweigh our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a product candidate may not be acceptable or sufficient to support the submission of a Biologics License Application (“BLA”), a new drug application (“NDA”), or similar marketing application to obtain regulatory approval in the U.S. or elsewhere, and we may be required to conduct additional clinical trials;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authority may disagree regarding the formulation, labeling and/or the specifications of a product candidate;</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may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firstLine="509"/>
        <w:spacing w:after="0" w:line="252"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 bempikibart or other product candidates, which would significantly harm our business, results of operations and prospects. The FDA’s and other regulatory authorities’ policies may change and additional government regulations may be enacted that could prevent, limit or delay regulatory approval of our product candidates. For example, the U.S. Supreme Court’s July 2024 decision to overturn prior established case law giving deference to regulatory agencies’ decisions and interpretations of ambiguous statutory language has introduced uncertainty regarding the extent to which the FDA’s regulations, policies and decisions may become subject to increasing legal challenges, delays, and/or changes. The U.S. Supreme Court stripped federal agencies of this presumptive deference and held that courts must exercise their independent judgment when deciding whether an agency such as the FDA acted within its statutory authority under the Administrative Procedure Act (the “APA”). Decisions such as this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9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w:t>
      </w:r>
    </w:p>
    <w:p>
      <w:pPr>
        <w:spacing w:after="0" w:line="29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other disruptions to the operations of, the FDA, the SEC, the National Institute of Health (“NIH”), and other government agencies, including from government shutdowns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current U.S. administration is focused on reducing costs of the federal government generally, including significantly reducing the number of government employees at various federal agencies, including the FDA. Currently, most federal agencies in the U.S. are funded through September 30, 2026. Without appropriation of additional funding to federal agencies, our business operations related to our product development activities for the U.S. market could be impacted. The ability of the FDA to review and approve regulatory submissions and NIH’s ability to conduct and partner with industry on important research can be affected by a variety of factors, including government budget and funding levels, the ability to hire and retain key personnel and accept the payment of user fees, layoffs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spacing w:after="0" w:line="1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regulatory submissions, which could have a material adverse effect on our business. Further, future government shutdowns could impact our ability to access the public markets and obtain necessary capital to properly capitalize and continue our operations.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have been numerous legislative changes and there continues to be substantial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ind w:right="400" w:firstLine="509"/>
        <w:spacing w:after="0" w:line="256"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and biologic products safely and in accordance with regulatory requirements. This includes synthesizing the active ingredient, developing an acceptable formulation, performing tests to adequately characterize the formulated product, documenting a repeatable manufacturing process and demonstrating that our products meet stability requirements. Meeting these chemistry, manufacturing and control (“CMC”) requirements is a complex task that requires specialized expertise. If we are not able to meet the CMC requirements, we may not be successful in advancing our clinical studies or obtaining regulatory approvals for our product candidates.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conduct clinical trials for our product candidates at sites outside the U.S., and the FDA may not accept data from trials conducted in such locations.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conducted and may in the future choose to conduct clinical trials for our product candidates outside the U.S.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U.S. or to continue such trials once initiated. Additionally, recent policy proposals in the U.S., if enacted in the future, may make acceptance by the FDA or inclusion in a marketing application of foreign data more difficult or costly.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risks inherent in conducting international clinical trials include:</w:t>
      </w:r>
    </w:p>
    <w:p>
      <w:pPr>
        <w:spacing w:after="0" w:line="117" w:lineRule="exact"/>
        <w:rPr>
          <w:sz w:val="20"/>
          <w:szCs w:val="20"/>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foreign regulatory requirements, differences in healthcare services, and differences in cultural customs that could restrict or limit our ability to conduct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sets of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risks relevant to foreign countries.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investigational biological products, if approved, could be considered reference products entitled to the 12-year period of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litigation. The approval of a biosimilar of any of our product candidates could have a material adverse impact on our business due to increased competition and pricing pressure.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bempikibart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bempikibart or other product candidates will require the submission of reports to regulatory authorities and surveillance to monitor the safety and efficacy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substances and products and their facilities are subject to continual review and periodic, unannounced inspections by the FDA and other regulatory authorities for compliance with cGMPs.</w:t>
      </w:r>
    </w:p>
    <w:p>
      <w:pPr>
        <w:spacing w:after="0" w:line="190"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bempikibart or other product candidates and generate revenue and could require us to expend significant time and resources in response and could generate negative publicity.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legislative reform measures.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bempikibart or other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w:t>
      </w:r>
      <w:r>
        <w:rPr>
          <w:rFonts w:ascii="Times New Roman" w:cs="Times New Roman" w:eastAsia="Times New Roman" w:hAnsi="Times New Roman"/>
          <w:sz w:val="18"/>
          <w:szCs w:val="18"/>
          <w:i w:val="1"/>
          <w:iCs w:val="1"/>
          <w:color w:val="auto"/>
        </w:rPr>
        <w:t>Business-Government Regulation-Healthcare Reform</w:t>
      </w:r>
      <w:r>
        <w:rPr>
          <w:rFonts w:ascii="Times New Roman" w:cs="Times New Roman" w:eastAsia="Times New Roman" w:hAnsi="Times New Roman"/>
          <w:sz w:val="18"/>
          <w:szCs w:val="18"/>
          <w:color w:val="auto"/>
        </w:rPr>
        <w:t>” in our Annual Report on Form</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10-K for the year ended December 31, 2025 for a more detailed description of healthcare reforms measures that may prevent us from being able to generate revenue, attain profitability, or commercialize product candidates.</w:t>
      </w:r>
    </w:p>
    <w:p>
      <w:pPr>
        <w:spacing w:after="0" w:line="1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example, the OBBBA enacted significant Medicaid reforms, including approximately $1 trillion in federal spending reductions through 2034. Among other provisions, the legislation imposes work requirements for certain adult Medicaid enrollees, mandates more frequent eligibility redeterminations, and authorizes increased cost-sharing obligations for beneficiaries. These changes are expected to reduce overall Medicaid enrollment and limit access to care. Although the precise impact on our business is not yet clear, any reduction in the number of covered patients or reimbursement levels for our products could adversely affect our future revenue and commercial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6" w:name="page67"/>
    <w:bookmarkEnd w:id="66"/>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Recent CMS proposals, including the GLOBE, GUARD, and GENEROUS, could materially impact the Company’s revenue. The implementation of cost containment measures or other healthcare reforms may prevent us from being able to generate revenue, attain profitability or commercialize our products.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fraud and abuse and other healthcare laws and regulations. These laws may constrain the business or financial arrangements and relationships through which we conduct our operations, including how we research, market, sell and distribute our product candidates, if approved. See the section titled “</w:t>
      </w:r>
      <w:r>
        <w:rPr>
          <w:rFonts w:ascii="Times New Roman" w:cs="Times New Roman" w:eastAsia="Times New Roman" w:hAnsi="Times New Roman"/>
          <w:sz w:val="18"/>
          <w:szCs w:val="18"/>
          <w:i w:val="1"/>
          <w:iCs w:val="1"/>
          <w:color w:val="auto"/>
        </w:rPr>
        <w:t>Business-Government Regulation-Other Healthcare Laws and Compliance Requirements</w:t>
      </w:r>
      <w:r>
        <w:rPr>
          <w:rFonts w:ascii="Times New Roman" w:cs="Times New Roman" w:eastAsia="Times New Roman" w:hAnsi="Times New Roman"/>
          <w:sz w:val="18"/>
          <w:szCs w:val="18"/>
          <w:color w:val="auto"/>
        </w:rPr>
        <w:t>” in our Annual Report on Form 10-K for the year ended December 31, 2025 for a more detailed description of the laws that may affect our ability to operate.</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bempikibart or other product candidates, due to unfavorable pricing regulations and/or third-party coverage and reimbursement policies, we may not be able to offer such products at competitive prices which would seriously harm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intend to seek approval to market bempikibart and other product candidates in both the U.S.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condition. See the sections titled “</w:t>
      </w:r>
      <w:r>
        <w:rPr>
          <w:rFonts w:ascii="Times New Roman" w:cs="Times New Roman" w:eastAsia="Times New Roman" w:hAnsi="Times New Roman"/>
          <w:sz w:val="18"/>
          <w:szCs w:val="18"/>
          <w:i w:val="1"/>
          <w:iCs w:val="1"/>
          <w:color w:val="auto"/>
        </w:rPr>
        <w:t>Business-Government Regulation-Coverage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Reimbursement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Regulation in the EU</w:t>
      </w:r>
      <w:r>
        <w:rPr>
          <w:rFonts w:ascii="Times New Roman" w:cs="Times New Roman" w:eastAsia="Times New Roman" w:hAnsi="Times New Roman"/>
          <w:sz w:val="18"/>
          <w:szCs w:val="18"/>
          <w:color w:val="auto"/>
        </w:rPr>
        <w:t>” in our Annual Report on Form 10-K for the year ended December 31, 2025 for a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the government regulations and third-party payor practices that may affect our ability to commercialize our product candidates.</w:t>
      </w:r>
    </w:p>
    <w:p>
      <w:pPr>
        <w:spacing w:after="0" w:line="2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60"/>
        <w:spacing w:after="0" w:line="253" w:lineRule="auto"/>
        <w:rPr>
          <w:sz w:val="20"/>
          <w:szCs w:val="20"/>
          <w:color w:val="auto"/>
        </w:rPr>
      </w:pPr>
      <w:r>
        <w:rPr>
          <w:rFonts w:ascii="Times New Roman" w:cs="Times New Roman" w:eastAsia="Times New Roman" w:hAnsi="Times New Roman"/>
          <w:sz w:val="18"/>
          <w:szCs w:val="18"/>
          <w:color w:val="auto"/>
        </w:rPr>
        <w:t>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or prospects could be materially and adversely affected.</w:t>
      </w:r>
    </w:p>
    <w:p>
      <w:pPr>
        <w:spacing w:after="0" w:line="29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seek one or more designations or expedited programs for our product candidates, but may not receive such designations or be allowed to proceed on expedited program pathways, and even with the fast track designation (“FTD”) we received for bempikibart or may receive for another product candidate in the future, such designations or expedited programs may not lead to a faster development or regulatory review or approval process, and each designation does not increase the likelihood that any of our product candidates will receive regulatory approval in the U.S.</w:t>
      </w:r>
    </w:p>
    <w:p>
      <w:pPr>
        <w:spacing w:after="0" w:line="5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April 2025, we received FTD for bempikibart for the treatment of AA. In the future, we may seek FTD for other product candidates, where applicable. If a drug is intended for the treatment of a serious or life-threatening condition and nonclinical or clinical data for the drug demonstrates the potential to address an unmet medical need for such a condition, the drug sponsor may apply for FTD. The FDA has broad discretion whether to grant this designation, so even if we believe a particular product candidate is eligible for this designation, we cannot provide assurance that the FDA would decide to grant this designation. Even with the FTD granted to bempikibart or that may be granted to any other product candidate, as applicable, bempikibart or other product candidates may not experience a faster development process, review or approval compared to conventional FDA procedures. The FDA may withdraw FTD if it believes that the designation is no longer supported by data from the clinical development program. FTD alone does not guarantee qualification for the FDA’s priority review procedures.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for FDA review or approval will not be shortened.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firstLine="509"/>
        <w:spacing w:after="0" w:line="251" w:lineRule="auto"/>
        <w:rPr>
          <w:sz w:val="20"/>
          <w:szCs w:val="20"/>
          <w:color w:val="auto"/>
        </w:rPr>
      </w:pPr>
      <w:r>
        <w:rPr>
          <w:rFonts w:ascii="Times New Roman" w:cs="Times New Roman" w:eastAsia="Times New Roman" w:hAnsi="Times New Roman"/>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trials to verify and describe the drug’s clinical benefit. Under the Food and Drug Omnibus Reform Act of 2022 (“FDORA”), the FDA is permitted to require, as appropriate, that a post-approval confirmatory trial or trials be underway prior to approval or within a specified time after the date of accelerated approval was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trials fail to verify the drug’s predicted clinical benefit. Under FDORA, the FDA is empowered to act, such as issuing fines, against companies that fail to conduct with due diligence any post-approval confirmatory trial or submit timely reports to the agency on their progress. In addition, for products being considered for accelerated approval, the FDA generally requires, unless otherwise informed by the Agency, that all advertising and promotional materials intended for dissemination or publication within 120 days of regulatory approval be submitted to the Agency for review during the pre-approval review period. Thus, even if we seek to utilize the accelerated approval pathway, we may not be able to obtain accelerated approval and, even if we do, we may not experience a faster development, regulatory review or approval process for that product. Moreover, even if we received accelerated approval, any post-approval trials required to confirm and verify clinical benefit may not show such benefit, which could lead to withdrawal of any approvals we have obtained. In addition, receiving accelerated approval does not assure that the product’s accelerated approval will eventually be converted to a traditional approval.</w:t>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certain of our product candidates, but may not be able to obtain such designation, or obtain or maintain the benefits of such designation including orphan drug exclusivity, and even if we do obtain orphan designation for our product candidates, any orphan drug exclusivity it receives may not prevent regulatory authorities from approving other competing products.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some of our product candidates; however, we may never receive such designation. Under the Orphan Drug Act, the FDA may designate a product as an orphan drug if it is a drug or biologic intended to treat a rare disease or condition, defined as a patient population of fewer than 200,000 in the U.S., or a patient population of 200,000 or more in the U.S. where there is no reasonable expectation that the cost of developing the drug will be recovered from sales in the U.S. Orphan drug designation must be requested before submitting an NDA or a BLA. A similar regulatory scheme governs orphan products in the EU.</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regulatory approval for the indication for which it has such designation, the product is entitled to a period of marketing exclusivity, which precludes the FDA from approving another marketing application for the same product for the same therapeutic indication for seven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products can be approved for the same approved use or condition. In addition, even after an orphan drug is approved, the FDA can subsequently approve the same product for the same approved use or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regulatory approval for any indication due to the uncertainties associated with developing pharmaceutical products.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Additionally, legislation has been proposed by the European Commission that, if implemented, has the potential in some cases to shorten the ten-year period of orphan marketing exclusivity. It is unclear if, when, or how the FDA or other regulatory authorities may change the orphan drug regulations and policies in the future, and it is uncertain how any changes might affect our business. Depending on what changes the FDA or other regulatory authorities may make to their orphan drug regulations and policies, our business could be adversely impacted.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Third Party Relationships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on third parties in the future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and expect to continue to, rely on third parties, such as but not limited to CROs, clinical data management organizations, medical institutions, preclinical laboratories and clinical investigators, to conduct some aspects of our research. For example, we may rely on a third party to supply components of our product candidates, or to conduct some of our preclinical animal experiments. Any of these third parties may terminate their engagements with us at any time under certain criteria. If we need to enter into alternative arrangements, it may delay our product research and development activities.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preclinical studies and clinical trials is conducted in accordance with the general investigational plan and protocols.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w:t>
      </w:r>
    </w:p>
    <w:p>
      <w:pPr>
        <w:spacing w:after="0" w:line="29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collaborations and license agreements with third parties, including our existing license agreements with BMS and Colorado and expect to collaborate with third parties in the future. We may not be successful in finding strategic collaborators for continuing development of certain of our future product candidates or successfully commercializing or competing in the market for certain indications.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collaborate with third-parties with respect to bempikibart. If any of our collaborators, licensors or licensees experience delays in performance of, or fail to perform their obligations under, their applicable agreements with us, disagree with our interpretation of the terms of such agreement or terminate their agreement with us, our pipeline of product candidates would be adversely affected. If we fail to comply with any of the obligations under our collaborations or license agreements, including payment terms and diligence terms, our collaborators, licensors or licensees may have the right to terminate our agreements, in which event we may lose intellectual property rights, market or sell the products covered by such agreements or may face other penalties under such agreements. Our collaborators, licensors or licensees may also fail to properly maintain or defend the intellectual property we have licensed from them, or infringe upon other third party intellectual property rights, leading to the potential invalidation of such third party’s intellectual property or subjecting us to litigation or arbitration, any of which would be time-consuming and expensive and could harm our ability to develop or commercialize our product candidates. Further, any of these relationships may require us to increase our near and long-term expenditures, issue securities that dilute our existing stockholders or disrupt our management and business.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under the agreements with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entities such as, but not limited to,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it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the market and generate product revenue.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because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company;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anticipate that we will rely, on third parties to assist in designing, conducting, supervising and monitoring our preclinical studies and clinical trials, and if those third parties perform in an unsatisfactory manner, it may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and anticipate that we will rely, on third party clinical investigators, CROs, clinical data management organizations and consultants to help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product candidates for our research, preclinical and clinical activities, and may do the same for commercial supplies of our product candidates.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not yet manufactured our product candidates on a commercial scale and may not be able to do so for any of our product candidates. We currently rely on third parties in the supply and manufacture of materials for our research, preclinical and clinical activities and may continue to do so for the foreseeable future, including if we received regulatory approval for any product candidate. We may do the same for the commercial supply of our drug product, if any. We use third parties to perform additional steps in the manufacturing process, such as the filling, finishing and labeling of vials and storage and shipping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fusion protein based antibodies and/or monoclonal antibodies, there may be increased competition for the supply of the raw materials that are necessary to make our fusion protein based antibodies and/or monoclonal antibodies, which could severely impact the manufacturing of our product candidates.</w:t>
      </w:r>
    </w:p>
    <w:p>
      <w:pPr>
        <w:spacing w:after="0" w:line="19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ind w:right="20"/>
        <w:spacing w:after="0" w:line="252" w:lineRule="auto"/>
        <w:rPr>
          <w:sz w:val="20"/>
          <w:szCs w:val="20"/>
          <w:color w:val="auto"/>
        </w:rPr>
      </w:pPr>
      <w:r>
        <w:rPr>
          <w:rFonts w:ascii="Times New Roman" w:cs="Times New Roman" w:eastAsia="Times New Roman" w:hAnsi="Times New Roman"/>
          <w:sz w:val="18"/>
          <w:szCs w:val="18"/>
          <w:color w:val="auto"/>
        </w:rPr>
        <w:t>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 Regional or single-source dependencies may in some cases accentuate these risks. For example, the pharmaceutical industry generally, and in some cases of third parties on which we rely, depend on China-based suppliers or service producers for certain materials, products and services, or other activities. Our ability or the ability of the third parties we rely on to continue to engage these China-based suppliers or service providers for certain materials could be restricted due to geopolitical developments between the United States and China, including as a result of the escalation of tariffs or other trade restrictions.</w:t>
      </w:r>
    </w:p>
    <w:p>
      <w:pPr>
        <w:spacing w:after="0" w:line="19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we currently rely on foreign CROs and CDMOs, including WuXi Biologics (“WuXi”), and will likely continue to rely on foreign CROs and CDMOs in the future. On December 18, 2025, the National Defense Authorization Act for Fiscal Year 2026 (“NDAA”) was enacted, which includes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(“BCCs”), and from expending federal loan or grant funds for such equipment or services. While WuXi is not currently listed as a BCC, earlier legislative drafts of the BIOSECURE Act explicitly identified WuXi as a BCC; and also on December 18, 2025, the chairmen of multiple Senate and House committees, including the House Select Committee on China, sent a letter to the Department of Defense recommending that WuXi be added to the Department of Defense’s 1260H list, which would result in WuXi being designated as a BCC.</w:t>
      </w:r>
    </w:p>
    <w:p>
      <w:pPr>
        <w:spacing w:after="0" w:line="19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If WuXi,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 Although the BIOSECURE Act includes certain exceptions, waivers, and safe harbors, including a transition period for existing contracts following the issuance of implementing regulations, these provisions may be limited in scope, subject to agency interpretation, or unavailable in particular circumstances. In addition, the BIOSECURE Act has not yet been fully implemented through final regulations, and the manner in which U.S. government agencies will interpret and enforce these restrictions remains uncertain. Any additional executive action, legislative action or potential sanctions with China could materially impact any Chinese vendor that we use and our agreements with them. In addition, foreign CDMOs may be subject to sanctions, tariffs, trade restrictions and other foreign regulatory requirements which could increase the cost or reduce the supply of material available to us, delay the procurement or supply of such material or have an adverse effect on our ability to manufacture our product candidates.</w:t>
      </w:r>
    </w:p>
    <w:p>
      <w:pPr>
        <w:spacing w:after="0" w:line="19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our manufacturing requirements, either by us or by one of our third-party vendors, could adversely affect our business.</w:t>
      </w:r>
    </w:p>
    <w:p>
      <w:pPr>
        <w:spacing w:after="0" w:line="2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it to criminal sanctions, civil penalties, contractual damages, reputational harm, and diminished profits and future earnings.</w:t>
      </w:r>
    </w:p>
    <w:p>
      <w:pPr>
        <w:spacing w:after="0" w:line="6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it obtains marketing approval. Our future arrangements with third-party payors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260"/>
        <w:spacing w:after="0" w:line="261" w:lineRule="auto"/>
        <w:rPr>
          <w:sz w:val="20"/>
          <w:szCs w:val="20"/>
          <w:color w:val="auto"/>
        </w:rPr>
      </w:pPr>
      <w:r>
        <w:rPr>
          <w:rFonts w:ascii="Times New Roman" w:cs="Times New Roman" w:eastAsia="Times New Roman" w:hAnsi="Times New Roman"/>
          <w:sz w:val="18"/>
          <w:szCs w:val="18"/>
          <w:color w:val="auto"/>
        </w:rPr>
        <w:t>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listed in the section above titled “</w:t>
      </w:r>
      <w:r>
        <w:rPr>
          <w:rFonts w:ascii="Times New Roman" w:cs="Times New Roman" w:eastAsia="Times New Roman" w:hAnsi="Times New Roman"/>
          <w:sz w:val="18"/>
          <w:szCs w:val="18"/>
          <w:i w:val="1"/>
          <w:iCs w:val="1"/>
          <w:color w:val="auto"/>
        </w:rPr>
        <w:t>Risk Factors—Risks Related to Government Regulation</w:t>
      </w:r>
      <w:r>
        <w:rPr>
          <w:rFonts w:ascii="Times New Roman" w:cs="Times New Roman" w:eastAsia="Times New Roman" w:hAnsi="Times New Roman"/>
          <w:sz w:val="18"/>
          <w:szCs w:val="18"/>
          <w:color w:val="auto"/>
        </w:rPr>
        <w:t>,” including certain laws and regulations applicable only if we have marketed products.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9"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15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Personnel and Operations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bempikibart or other product candidates in foreign markets for which we may rely on collaboration with third parties. We are not permitted to market or promote any product candidates before we receive regulatory approval from the applicable foreign regulatory authority and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bempikibart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bempikibart or other product candidates will be harmed, and our business will be adversely affected. Moreover, even if we obtain approval of bempikibart or other product candidates and ultimately commercialize such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third party service providers or consultants or potential future collaborators, may fail or suffer security incidents,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as well as other partners, these systems are potentially vulnerable to breakdown or other damage or interruption from service interruptions, system malfunction, natural disasters, terrorism, war and telecommunication and electrical failures, as well as security incidents and data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To the extent that any disruption or security breach were to result in a loss, destruction, unavailability, alteration or dissemination of, or damage to, our data or applications, or for us to be believed or reported that any of these occurred, we could incur liability and reputational damage and the development and commercialization of bempikibart or other product candidates could be delayed.</w:t>
      </w:r>
    </w:p>
    <w:p>
      <w:pPr>
        <w:spacing w:after="0" w:line="19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our employees work remotely and utilize network connections, computers, and devices outside our premises or network, including working at home, while in transit and in public locations, there are risks to our information technology systems and data. Additionally, business transactions (such as acquisitions or integrations) could expose us to additional cybersecurity threats, risks and vulnerabilities, as our systems could be negatively affected by vulnerabilities present in acquired or integrated entities’ systems and technologies or threats presented by malicious third parties.</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like other organizations in our industry, have experienced and expect to experience cybersecurity incidents and threats to our infrastructure.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stakeholders (including investors and potential customers) to stop supporting our research and development activities, deter new customers from products, and negatively impact our ability to grow and operate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5" w:name="page76"/>
    <w:bookmarkEnd w:id="7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w:t>
      </w:r>
    </w:p>
    <w:p>
      <w:pPr>
        <w:spacing w:after="0" w:line="28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and third parties with whom we work,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sections titled “</w:t>
      </w:r>
      <w:r>
        <w:rPr>
          <w:rFonts w:ascii="Times New Roman" w:cs="Times New Roman" w:eastAsia="Times New Roman" w:hAnsi="Times New Roman"/>
          <w:sz w:val="18"/>
          <w:szCs w:val="18"/>
          <w:i w:val="1"/>
          <w:iCs w:val="1"/>
          <w:color w:val="auto"/>
        </w:rPr>
        <w:t>Business-Government Regulation-Data Privacy and 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in our Annual Report on Form 10-K for the year ended December 31, 2025 for a more detailed description of the laws that may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operate.</w:t>
      </w:r>
    </w:p>
    <w:p>
      <w:pPr>
        <w:spacing w:after="0" w:line="29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artificial intelligence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(the “AI Act”) on August 1, 2024, with a significant part of the law scheduled to come into effect in August 2026.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18"/>
          <w:szCs w:val="18"/>
          <w:color w:val="auto"/>
        </w:rPr>
        <w:t>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22 full-time employees, including 3 who hold Ph.D. degrees and 1 who holds an M.D. degree; 11 employees are engaged in research and development and 11 employees in management or general and administrative activities. In connection with the growth and advancement of our pipeline and operating as a public company, we expect to focus the scope of our operations, particularly in the areas of drug development, regulatory affairs and sales and marketing. To manage our anticipated future growth, we must continue to implement and improve our managerial, operational and financial systems and continue to retain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Any inability to manage growth could delay the execution of our business plans or disrupt our operations.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it may develop will depend in part on our ability to effectively manage the future development and our expansion.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itself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8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political crises, government shutdowns, geopolitical events, or other macroeconomic conditions, which could have a material and adverse effect on our results of operations and financial condition.</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international tariffs and uncertainty about economic stability. The Federal Reserve had raised interest rates multiple times in response to concerns about inflation until recently, and it may raise them again. Higher interest rates, coupled with reduced government spending and volatility in financial markets, may increase economic uncertainty and affect consumer spending. In addition,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The U.S. Supreme Court invalidated the reciprocal tariffs on February 20, 2026; however, President Trump has stated that he intends to use other authorities to maintain historically elevated tariffs. Historically, increased tariffs have led to more trade and political tensions and the status of these agreements between the United States and the various countries, in light of the U.S. Supreme Court’s February 20, 2026 decision, is not yet clear. While pharmaceutical end-products are currently excluded from certain tariffs, current or future tariffs will result in increased research and development expenses, including with respect to increased costs associated with active pharmaceutical ingredients (“APIs”), raw materials, laboratory equipment and research materials and components.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 There can be no assurance that deterioration in credit and financial markets and confidence in economic conditions will not occur. Similarly, global geopolitical disruptions, including civil or political unrest or military conflicts such as between Russia and Ukraine, between the U.S. and Iran in the Middle East and U.S.’s rising tensions with China have created extreme volatility in the global capital markets and commodity prices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20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losses and may never achieve profitability. As of December 31, 2025 and December 31, 2024, we had federal and state net operating losses (“NOLs”) of $423.3 million and $233.4 million, respectively. Under current law, our federal NOLs generated in taxable years beginning after December 31, 2017, may be carried forward indefinitely, but the deductibility of such federal NOLs is limited to 80% of its taxable income annually for tax years beginning after December 31, 2020. Federal NOLs generated in taxable years beginning before January 1, 2018, however, have a 20-year carryforward period, but are not subject to the 80% limitation. Our state NOLs expire at various dates from 2040 through 2045. As of December 31, 2025, we had federal research and development tax credit carryforwards of $6.3 million that expire at various dates from 2041 through 2045. In addition, as of December 31, 2025, we had state research and development tax credit carryforwards of $2.4 million that expire at various dates from 2038 through 2045.</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or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rolling three-year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t>period, the corporation’s ability to use our pre-change NOLs and other pre-change tax attributes (such as research and development tax credits) to offset our post-change income or taxes may be limited. Similar rules may apply under state tax laws. Our prior equity offerings and other changes in our stock ownership may have resulted in such ownership changes in the past. We have not conducted a formal study to assess whether an ownership change has occurred or whether there have been multiple ownership changes since our inception. In addition, we may experience ownership changes in the future as a result of future securities offering or subsequent shifts in our stock ownership, some of which are outside of our control. As a result, even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For example, the One Big Beautiful Bill Act (“OBBBA”) was signed into law on July 4, 2025 and made significant changes to U.S. federal tax law. Changes to tax laws (which changes may have retroactive application) could adversely affect our business and financial condition.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government securities held by financial institutions to mitigate the risk of potential losses on the sale of such instruments and help address liquidity pressures that may arise.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this time, we hold the majority of our cash on deposit at SVB (which has been assumed by First Citizens) and we have not experienced any adverse impact to our current and projected business operations, financial condition or results of operations as a result of the closure of SVB or any other banks. We have diversified our cash deposit holdings between multiple financial institutions. However, uncertainty remains over liquidity concerns in the broader financial services industry, and our business,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assessed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shares of Legacy Q32 capital stock. An active trading market for our shares of common stock may never develop or be sustained. If an active market for our common stock does not develop or is not sustained, it may be difficult for our stockholders to sell their shares at an attractive price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existing stockholders of Q32 sell, or indicate an intention to sell, substantial amounts of our common stock in the public market after legal restrictions on resale lapse, the trading price of our common stock could decline. As of March 31, 2026, we had 14,629,463 shares of common stock outstanding. Stockholders are not restricted from selling shares of our common stock held by them, other than by applicable securities laws. In addition, shares of common stock that are subject to outstanding options or warrants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administrator of the 2024 Plan is authorized to exercise its discretion, and has exercised such discretion, to affect the repricing of stock options and there may be adverse consequences to our business due to the exercise of discretion by the administrator of the 2024 Plan.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2024 Plan, we are authorized to grant equity awards, including stock options, to our employees, directors and consultants. Our board of directors is the administrator of the 2024 Plan and is authorized to exercise its discretion to reduce the exercise price of stock options or effect the repricing of such awards. To provide added incentives to retain and motivate key contributors, our board of directors approved the Option Repricing in February 2025. As a result of such repricing or any potential future repricing, certain proxy advisory firms or institutional investors may be unsupportive of such actions and publicly criticize our compensation practices, and proxy advisory firms may recommend an “against” or “withhold” vote for members of our compensation committee. In addition, as we hold an advisory vote on named executive officer compensation (known as the “say-on-pay” vote) at the time of, or subsequent to, any such repricing, it is likely that proxy advisory firms would issue an “against” recommendation on our say-on-pay vote and institutional investors may not be supportive of our say-on-pay vote. If proxy advisory firms or institutional investors are successful in aligning their views with our broader stockholder base and we are required to make changes to the composition of our board and its committees, or if we need to make material changes to our compensation and corporate governance practices, our business might be disrupted and our stock price might be negatively impacted. Even if we are able to successfully rationalize the exercise of such discretionary power, defending against any “against” or “withhold” recommendation for members of our compensation committee, any “against” recommendation on our say on pay vote or public criticism could be distracting to management, and responding to such positions from such firms or investors, even if remedied, can be costly and time-consuming.</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incurred costs, including accounting and administrative costs and attorneys’ fees, and have recognized incremental compensation expense as a result of the option repricing conducted in February 2025, and may further incur significant costs or be required to recognize incremental compensation expense as a result of any potential future repricing, even absent negative reactions from proxy advisory firms and institutional investors. These actions could cause our stock price to decrease and experience periods of increased volatility, which could result in material adverse consequences to our business.</w:t>
      </w:r>
    </w:p>
    <w:p>
      <w:pPr>
        <w:spacing w:after="0" w:line="287"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our executive officers, directors and principal stockholders, in the aggregate, beneficially own approximately 63.1%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6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on Form 10-Q:</w:t>
      </w:r>
    </w:p>
    <w:p>
      <w:pPr>
        <w:spacing w:after="0" w:line="68" w:lineRule="exact"/>
        <w:rPr>
          <w:sz w:val="20"/>
          <w:szCs w:val="20"/>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2" w:name="page83"/>
    <w:bookmarkEnd w:id="82"/>
    <w:p>
      <w:pPr>
        <w:ind w:left="1020" w:right="3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we plan to address with bempikibart or other product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bempikibart, and our clinical trials of our lead candidate may not be successful.</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herein, and others, the results of any of our prior quarterly or annual periods should not be relied upon as indications of our future operating performance.</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these resources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results of operations or cash flows.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provisions under Delaware law could make an acquisition of our company more difficult and may prevent attempts by our stockholders to replace or remove our management.</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in the election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the board of directors may fill vacancies on the board of directors created by the expansion of the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and to determine the terms of those shares, including preferences and voting rights, without stockholder approval, which could be used to significantly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our charter or bylaws.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stockholders owning in excess of 15% of the outstanding voting stock from merging or combining with us. Although Homology and Legacy Q32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of the company or our stockholders, (iii) any action asserting a claim arising pursuant to any provision of the DGCL, our certificate of incorporation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is referred to herein as the “Federal Forum Provision.” In addition, our certificate of incorporation and bylaws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w:t>
      </w:r>
    </w:p>
    <w:p>
      <w:pPr>
        <w:spacing w:after="0" w:line="19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19, 2025, we received written notice (the “Notice”) from the listing qualifications staff of the Nasdaq Stock Market LLC (the “Staff”) notifying us that, based on our Quarterly Report on Form 10-Q for the quarter ended March 31, 2025, which reported our stockholders’ equity (deficit) of approximately ($4.0 million), we were no longer in compliance with the minimum stockholders’ equity requirement of $2.5 million for continued listing on the Nasdaq Capital Market per Listing Rule 5550(b)(1). Additionally, the Notice also stated that as of May 19, 2025, we did not meet the alternatives of market value of listed securities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$35.0 million per Listing Rule 5550(b)(2) or net income from continuing operations of $0.5 million in our most recently completed fiscal year or in two of our three most recently completed fiscal years per Listing Rule 5550(b)(3), and as such, we did not comply with the Listing Rule 5550 for continued listing on the Nasdaq Capital Market.</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equity (deficit) was negatively impacted by the accounting treatment associated with the re-acquisition of bempikibart from Amgen in the fourth quarter of 2023. In 2022, Legacy Q32 and Horizon entered into the Horizon Collaboration Agreement to develop bempikibart in autoimmune diseases, pursuant to which Legacy Q32 received $55.0 million from Horizon, and Horizon had an option to acquire the bempikibart program at a prespecified price, subject to certain adjustments. In October 2023, Amgen completed its acquisition of Horizon plc. Following the closing of Amgen’s acquisition of Horizon plc, Legacy Q32 and Horizon entered into the Horizon Termination Agreement, pursuant to which Horizon’s option to acquire bempikibart was terminated. As a result, the Company retained all initial consideration and development funding received and agreed to pay Horizon regulatory and sales milestone payments of up to an aggregate amount of $75.1 million upon the first achievement of certain regulatory and sales milestones with respect to bempikibart. As a result of the Horizon Termination Agreement, we recorded a $55.0 million refund liability associated with the cash received by Horizon in 2022.</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November 7, 2025, we and Amgen entered into an amendment to the Horizon Termination Agreement (the “Amgen Amendment”) pursuant to which we issued Horizon a one-time equity grant of 553,695 shares of the Company’s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The completion of the transactions increases our stockholders’ equity by $55.0 million, which brings us back into compliance with the minimum stockholders’ equity listing requirement for continued listing on the Nasdaq Capital Market per Listing Rule 5550(b)(1).</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18, 2025, we received Notice from the Staff indicating that based on the disclosure in our Quarterly Report on Form 10-Q for the period ended September 30, 2025, we are in compliance with the stockholders’ equity requirement for continued listing on the Nasdaq Capital Market per Listing Rule 5550(b)(1).</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Should we fail to satisfy other continued listing requirements of Nasdaq, such as the corporate governance requirements or the minimum share price requirement, or fail to regain compliance with Listing Rule 550(b)(1), Nasdaq may take steps to delist our securities. Such a delisting would likely have a negative effect on the price of the securities and would impair your ability to sell or purchase the securities when you wish to do so. In the event of a delisting, any action taken by us to restore compliance with listing requirements may not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over-the-counter bulletin board, an inter-dealer automated quotation system for equity securities that is not a national securities exchange, the liquidity and price of our securities may be more limited than if we were quoted or listed on Nasdaq or another national securities exchange.</w:t>
      </w:r>
    </w:p>
    <w:p>
      <w:pPr>
        <w:spacing w:after="0" w:line="29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qualify as a “smaller reporting company,” as such term is defined in Rule 12b-2 under the Exchange Act, which allows us to take advantage of many of the same exemptions from disclosure requirements, including not being required to comply with the auditor attestation requirements of Section 404(b) of the Sarbanes-Oxley Act and reduced disclosure obligations regarding executive compensation in this Quarterly Report on Form 10-Q and in our other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identify, or if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If we are unable to successfully remediate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regarding timely filing of periodic reports in addition to applicable stock exchange listing requirements, investors may lose confidence in our financial reporting, and the market price of our common stock may decline as a result.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Provided we continue to be listed on the Nasdaq Stock Market LLC, we will be subject to the reporting requirements of the Exchange Act, the Sarbanes-Oxley Act and the rules and regulations of the Nasdaq Stock Market LLC. The Sarbanes-Oxley Act requires, among other things, that we maintain effective disclosure controls and procedures and internal control over financial reporting. We must perform system and process evaluations and testing of our internal control over financial reporting to allow management to report on the effectiveness of our internal controls over financial reporting in our Annual Report on Form 10-K filing for that year, as required by Section 404 of the Sarbanes-Oxley Act. As a private company, Legacy Q32 was never required to test its internal controls within a specified period. This will require that we incur substantial professional fees and internal costs to expand our accounting and finance functions and that we expend significant management efforts. We may experience difficulty in meeting these reporting requirements in a timely manner.</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right="220" w:firstLine="509"/>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the Nasdaq Stock Market LLC, the SEC or other regulatory authorities.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 Rule 10b5-1 plans or non-Rule 10b5-1 trading arrangements were adopted, modified, or terminated by officers or directors of the Company, nor were there any material changes to the procedures by which security holders may recommend nominees to the Company’s board of directors, during the quarter ended March 31, 2026.</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60" w:type="dxa"/>
            <w:vAlign w:val="bottom"/>
            <w:gridSpan w:val="20"/>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9920" w:type="dxa"/>
            <w:vAlign w:val="bottom"/>
            <w:tcBorders>
              <w:bottom w:val="single" w:sz="8" w:color="0000FF"/>
            </w:tcBorders>
            <w:gridSpan w:val="31"/>
          </w:tcPr>
          <w:p>
            <w:pPr>
              <w:ind w:left="20"/>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Agreement and Plan of Merger, dated as of November 16, 2023, by and among Homology Medicines, Inc., Kenobi Merger Sub, Inc. and</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FF"/>
            </w:tcBorders>
            <w:gridSpan w:val="27"/>
          </w:tcPr>
          <w:p>
            <w:pPr>
              <w:ind w:left="20"/>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Q32 Bio Inc (incorporated by reference to Exhibit 2.1 of the Registrant’s Registration Statement on form S-4 filed December 18, 2023</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(File No. 333-276093)).</w:t>
              </w:r>
            </w:hyperlink>
          </w:p>
        </w:tc>
        <w:tc>
          <w:tcPr>
            <w:tcW w:w="20" w:type="dxa"/>
            <w:vAlign w:val="bottom"/>
            <w:tcBorders>
              <w:bottom w:val="single" w:sz="8" w:color="0000EE"/>
            </w:tcBorders>
          </w:tcPr>
          <w:p>
            <w:pPr>
              <w:spacing w:after="0"/>
              <w:rPr>
                <w:sz w:val="17"/>
                <w:szCs w:val="17"/>
                <w:color w:val="auto"/>
              </w:rPr>
            </w:pPr>
          </w:p>
        </w:tc>
        <w:tc>
          <w:tcPr>
            <w:tcW w:w="82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760" w:type="dxa"/>
            <w:vAlign w:val="bottom"/>
            <w:tcBorders>
              <w:bottom w:val="single" w:sz="8" w:color="0000FF"/>
            </w:tcBorders>
            <w:gridSpan w:val="28"/>
          </w:tcPr>
          <w:p>
            <w:pPr>
              <w:ind w:left="20"/>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Restated Certificate of Incorporation, as currently in effect (incorporated by reference to Exhibit 3.1 of the Registrant’s Form 8-K filed</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April 3, 2018 (File No. 001-38433)).</w:t>
              </w:r>
            </w:hyperlink>
          </w:p>
        </w:tc>
        <w:tc>
          <w:tcPr>
            <w:tcW w:w="20" w:type="dxa"/>
            <w:vAlign w:val="bottom"/>
            <w:tcBorders>
              <w:bottom w:val="single" w:sz="8" w:color="0000EE"/>
            </w:tcBorders>
          </w:tcPr>
          <w:p>
            <w:pPr>
              <w:spacing w:after="0"/>
              <w:rPr>
                <w:sz w:val="17"/>
                <w:szCs w:val="17"/>
                <w:color w:val="auto"/>
              </w:rPr>
            </w:pPr>
          </w:p>
        </w:tc>
        <w:tc>
          <w:tcPr>
            <w:tcW w:w="7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92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Amendment to the Amended and Restated Certificate of Incorporation of the Company—reverse stock split and authorized</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share increase, dated March 25, 2024 (incorporated by reference to Exhibit 3.1 of the Registrant’s Form 8-K filed March 27, 2024 (File</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No. 001-38433)).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720" w:type="dxa"/>
            <w:vAlign w:val="bottom"/>
            <w:tcBorders>
              <w:bottom w:val="single" w:sz="8" w:color="0000FF"/>
            </w:tcBorders>
            <w:gridSpan w:val="26"/>
          </w:tcPr>
          <w:p>
            <w:pPr>
              <w:ind w:left="20"/>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Certificate of Amendment to the Amended and Restated Certificate of Incorporation of the Company—name change, dated March 25,</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2024 (incorporated by reference to Exhibit 3.2 of the Registrant’s Form 8-K filed March 27, 2024 (File No. 001-38433)).</w:t>
              </w:r>
            </w:hyperlink>
          </w:p>
        </w:tc>
        <w:tc>
          <w:tcPr>
            <w:tcW w:w="20" w:type="dxa"/>
            <w:vAlign w:val="bottom"/>
            <w:tcBorders>
              <w:bottom w:val="single" w:sz="8" w:color="0000EE"/>
            </w:tcBorders>
          </w:tcPr>
          <w:p>
            <w:pPr>
              <w:spacing w:after="0"/>
              <w:rPr>
                <w:sz w:val="17"/>
                <w:szCs w:val="17"/>
                <w:color w:val="auto"/>
              </w:rPr>
            </w:pPr>
          </w:p>
        </w:tc>
        <w:tc>
          <w:tcPr>
            <w:tcW w:w="1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9880" w:type="dxa"/>
            <w:vAlign w:val="bottom"/>
            <w:tcBorders>
              <w:bottom w:val="single" w:sz="8" w:color="0000FF"/>
            </w:tcBorders>
            <w:gridSpan w:val="30"/>
          </w:tcPr>
          <w:p>
            <w:pPr>
              <w:ind w:left="20"/>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Certificate of Amendment to the Amended and Restated Certificate of Incorporation of the Company-officer exculpation, dated June 16,</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2025 (incorporated by reference to Exhibit 3.1 of the Registrant’s Form 8-K filed June 17, 2025 (File No. 001-38433)).</w:t>
              </w:r>
            </w:hyperlink>
          </w:p>
        </w:tc>
        <w:tc>
          <w:tcPr>
            <w:tcW w:w="20" w:type="dxa"/>
            <w:vAlign w:val="bottom"/>
            <w:tcBorders>
              <w:bottom w:val="single" w:sz="8" w:color="0000EE"/>
            </w:tcBorders>
          </w:tcPr>
          <w:p>
            <w:pPr>
              <w:spacing w:after="0"/>
              <w:rPr>
                <w:sz w:val="17"/>
                <w:szCs w:val="17"/>
                <w:color w:val="auto"/>
              </w:rPr>
            </w:pPr>
          </w:p>
        </w:tc>
        <w:tc>
          <w:tcPr>
            <w:tcW w:w="13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938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Amended and Restated Bylaws, as currently in effect (incorporated by reference to Exhibit 3.1 of the Registrant’s Form 8-K filed</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December 18, 2020 (File No. 001-38433)).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000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of Amendment No. 1 to Pre-Funded Warrant.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0"/>
                <w:szCs w:val="10"/>
                <w:color w:val="auto"/>
              </w:rPr>
            </w:pPr>
          </w:p>
        </w:tc>
        <w:tc>
          <w:tcPr>
            <w:tcW w:w="1960" w:type="dxa"/>
            <w:vAlign w:val="bottom"/>
            <w:gridSpan w:val="6"/>
            <w:vMerge w:val="restart"/>
          </w:tcPr>
          <w:p>
            <w:pPr>
              <w:ind w:left="20"/>
              <w:spacing w:after="0" w:line="196" w:lineRule="exact"/>
              <w:rPr>
                <w:rFonts w:ascii="Times New Roman" w:cs="Times New Roman" w:eastAsia="Times New Roman" w:hAnsi="Times New Roman"/>
                <w:sz w:val="18"/>
                <w:szCs w:val="18"/>
                <w:color w:val="0000FF"/>
                <w:w w:val="97"/>
              </w:rPr>
            </w:pPr>
            <w:hyperlink r:id="rId254">
              <w:r>
                <w:rPr>
                  <w:rFonts w:ascii="Times New Roman" w:cs="Times New Roman" w:eastAsia="Times New Roman" w:hAnsi="Times New Roman"/>
                  <w:sz w:val="18"/>
                  <w:szCs w:val="18"/>
                  <w:color w:val="0000FF"/>
                  <w:w w:val="97"/>
                </w:rPr>
                <w:t>Controlled Equity Offering</w:t>
              </w:r>
            </w:hyperlink>
          </w:p>
        </w:tc>
        <w:tc>
          <w:tcPr>
            <w:tcW w:w="180" w:type="dxa"/>
            <w:vAlign w:val="bottom"/>
            <w:tcBorders>
              <w:bottom w:val="single" w:sz="8" w:color="0000FF"/>
            </w:tcBorders>
            <w:gridSpan w:val="2"/>
          </w:tcPr>
          <w:p>
            <w:pPr>
              <w:spacing w:after="0" w:line="102" w:lineRule="exact"/>
              <w:rPr>
                <w:rFonts w:ascii="Times New Roman" w:cs="Times New Roman" w:eastAsia="Times New Roman" w:hAnsi="Times New Roman"/>
                <w:sz w:val="11"/>
                <w:szCs w:val="11"/>
                <w:color w:val="0000FF"/>
              </w:rPr>
            </w:pPr>
            <w:hyperlink r:id="rId254">
              <w:r>
                <w:rPr>
                  <w:rFonts w:ascii="Times New Roman" w:cs="Times New Roman" w:eastAsia="Times New Roman" w:hAnsi="Times New Roman"/>
                  <w:sz w:val="11"/>
                  <w:szCs w:val="11"/>
                  <w:color w:val="0000FF"/>
                </w:rPr>
                <w:t>SM</w:t>
              </w:r>
            </w:hyperlink>
          </w:p>
        </w:tc>
        <w:tc>
          <w:tcPr>
            <w:tcW w:w="7280" w:type="dxa"/>
            <w:vAlign w:val="bottom"/>
            <w:gridSpan w:val="13"/>
            <w:vMerge w:val="restart"/>
          </w:tcPr>
          <w:p>
            <w:pPr>
              <w:ind w:left="4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Sales Agreement, dated March 27, 2026, by and between Q32 Bio Inc. and Cantor Fitzgerald &amp; Co.</w:t>
              </w:r>
            </w:hyperlink>
          </w:p>
        </w:tc>
        <w:tc>
          <w:tcPr>
            <w:tcW w:w="580" w:type="dxa"/>
            <w:vAlign w:val="bottom"/>
            <w:gridSpan w:val="11"/>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bottom w:val="single" w:sz="8" w:color="0000FF"/>
            </w:tcBorders>
            <w:gridSpan w:val="6"/>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280" w:type="dxa"/>
            <w:vAlign w:val="bottom"/>
            <w:tcBorders>
              <w:bottom w:val="single" w:sz="8" w:color="0000FF"/>
            </w:tcBorders>
            <w:gridSpan w:val="13"/>
            <w:vMerge w:val="continue"/>
          </w:tcPr>
          <w:p>
            <w:pPr>
              <w:spacing w:after="0"/>
              <w:rPr>
                <w:sz w:val="5"/>
                <w:szCs w:val="5"/>
                <w:color w:val="auto"/>
              </w:rPr>
            </w:pPr>
          </w:p>
        </w:tc>
        <w:tc>
          <w:tcPr>
            <w:tcW w:w="5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by reference to Exhibit 10.1 of the Registrant’s Form 8-K filed on March 27, 2026 (File No. 001-38433)).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8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64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962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20" w:type="dxa"/>
            <w:vAlign w:val="bottom"/>
            <w:tcBorders>
              <w:bottom w:val="single" w:sz="8" w:color="0000EE"/>
            </w:tcBorders>
          </w:tcPr>
          <w:p>
            <w:pPr>
              <w:spacing w:after="0"/>
              <w:rPr>
                <w:sz w:val="17"/>
                <w:szCs w:val="17"/>
                <w:color w:val="auto"/>
              </w:rPr>
            </w:pPr>
          </w:p>
        </w:tc>
        <w:tc>
          <w:tcPr>
            <w:tcW w:w="85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0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40" w:type="dxa"/>
            <w:vAlign w:val="bottom"/>
            <w:tcBorders>
              <w:top w:val="single" w:sz="8" w:color="0000FF"/>
            </w:tcBorders>
            <w:gridSpan w:val="19"/>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jc w:val="both"/>
        <w:ind w:right="200" w:firstLine="8"/>
        <w:spacing w:after="0" w:line="257" w:lineRule="auto"/>
        <w:tabs>
          <w:tab w:leader="none" w:pos="22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Annexes, schedules and exhibits have been omitted pursuant to Item 601(b)(2) or 601(a)(5), as applicable, of Regulation S-K. The registrant agrees to furnish supplementally a copy of any omitted attachment to the SEC on a confidential basis upon request.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Q32 BIO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8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Jodie Morrison</w:t>
            </w:r>
          </w:p>
        </w:tc>
      </w:tr>
      <w:tr>
        <w:trPr>
          <w:trHeight w:val="191"/>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Jodie Morrison</w:t>
            </w:r>
          </w:p>
        </w:tc>
      </w:tr>
      <w:tr>
        <w:trPr>
          <w:trHeight w:val="234"/>
        </w:trPr>
        <w:tc>
          <w:tcPr>
            <w:tcW w:w="3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8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Lee Kalowski</w:t>
            </w:r>
          </w:p>
        </w:tc>
      </w:tr>
      <w:tr>
        <w:trPr>
          <w:trHeight w:val="191"/>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Lee Kalowski</w:t>
            </w:r>
          </w:p>
        </w:tc>
      </w:tr>
      <w:tr>
        <w:trPr>
          <w:trHeight w:val="234"/>
        </w:trPr>
        <w:tc>
          <w:tcPr>
            <w:tcW w:w="3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President</w:t>
            </w:r>
          </w:p>
        </w:tc>
      </w:tr>
      <w:tr>
        <w:trPr>
          <w:trHeight w:val="648"/>
        </w:trPr>
        <w:tc>
          <w:tcPr>
            <w:tcW w:w="3440" w:type="dxa"/>
            <w:vAlign w:val="bottom"/>
          </w:tcPr>
          <w:p>
            <w:pPr>
              <w:spacing w:after="0"/>
              <w:rPr>
                <w:sz w:val="24"/>
                <w:szCs w:val="24"/>
                <w:color w:val="auto"/>
              </w:rPr>
            </w:pPr>
          </w:p>
        </w:tc>
        <w:tc>
          <w:tcPr>
            <w:tcW w:w="2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83</w:t>
            </w:r>
          </w:p>
        </w:tc>
        <w:tc>
          <w:tcPr>
            <w:tcW w:w="51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OF AMENDMENT NO. 1 TO PRE-FUNDED WARRANT</w:t>
      </w:r>
    </w:p>
    <w:p>
      <w:pPr>
        <w:spacing w:after="0" w:line="25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1 TO PRE-FUNDED WARRANT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effective as of March 26, 2026 by and between Q32 Bio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[_____].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Each of the Company and the Holder shall be referred to collectively as the “Parties” and individually as a “Party.”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right="20" w:firstLine="631"/>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issued the Holder a pre-funded warrant (the “</w:t>
      </w:r>
      <w:r>
        <w:rPr>
          <w:rFonts w:ascii="Times New Roman" w:cs="Times New Roman" w:eastAsia="Times New Roman" w:hAnsi="Times New Roman"/>
          <w:sz w:val="20"/>
          <w:szCs w:val="20"/>
          <w:u w:val="single" w:color="auto"/>
          <w:color w:val="auto"/>
        </w:rPr>
        <w:t>Pre-Funded Warrant</w:t>
      </w:r>
      <w:r>
        <w:rPr>
          <w:rFonts w:ascii="Times New Roman" w:cs="Times New Roman" w:eastAsia="Times New Roman" w:hAnsi="Times New Roman"/>
          <w:sz w:val="20"/>
          <w:szCs w:val="20"/>
          <w:color w:val="auto"/>
        </w:rPr>
        <w:t>”) to purchase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 $0.0001 par value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in the amounts set forth on the Pre-Funded Warrant, pursuant to the terms of a registered direct offering which closed on February 19, 2026;</w:t>
      </w:r>
    </w:p>
    <w:p>
      <w:pPr>
        <w:spacing w:after="0" w:line="223" w:lineRule="exact"/>
        <w:rPr>
          <w:sz w:val="20"/>
          <w:szCs w:val="20"/>
          <w:color w:val="auto"/>
        </w:rPr>
      </w:pPr>
    </w:p>
    <w:p>
      <w:pPr>
        <w:jc w:val="both"/>
        <w:ind w:right="20" w:firstLine="631"/>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amend certain provisions of the Pre-Funded Warrant pursuant to Section 5(l) of the Pre-Funded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as set forth below.</w:t>
      </w:r>
    </w:p>
    <w:p>
      <w:pPr>
        <w:spacing w:after="0" w:line="179" w:lineRule="exact"/>
        <w:rPr>
          <w:sz w:val="20"/>
          <w:szCs w:val="20"/>
          <w:color w:val="auto"/>
        </w:rPr>
      </w:pPr>
    </w:p>
    <w:p>
      <w:pPr>
        <w:jc w:val="both"/>
        <w:ind w:firstLine="630"/>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are hereby acknowledged, each of the Parties agree with the others as follows:</w:t>
      </w:r>
    </w:p>
    <w:p>
      <w:pPr>
        <w:spacing w:after="0" w:line="183" w:lineRule="exact"/>
        <w:rPr>
          <w:sz w:val="20"/>
          <w:szCs w:val="20"/>
          <w:color w:val="auto"/>
        </w:rPr>
      </w:pPr>
    </w:p>
    <w:p>
      <w:pPr>
        <w:ind w:right="20" w:firstLine="631"/>
        <w:spacing w:after="0" w:line="269" w:lineRule="auto"/>
        <w:tabs>
          <w:tab w:leader="none" w:pos="9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all terms and conditions used in this Amendment shall have the meanings assigned to such terms in the Pre-Funded Warrant.</w:t>
      </w:r>
    </w:p>
    <w:p>
      <w:pPr>
        <w:spacing w:after="0" w:line="172" w:lineRule="exact"/>
        <w:rPr>
          <w:rFonts w:ascii="Times New Roman" w:cs="Times New Roman" w:eastAsia="Times New Roman" w:hAnsi="Times New Roman"/>
          <w:sz w:val="20"/>
          <w:szCs w:val="20"/>
          <w:color w:val="auto"/>
        </w:rPr>
      </w:pPr>
    </w:p>
    <w:p>
      <w:pPr>
        <w:ind w:left="1000" w:hanging="369"/>
        <w:spacing w:after="0"/>
        <w:tabs>
          <w:tab w:leader="none" w:pos="10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3(e) of the Pre-Funded Warrant is hereby deleted in its entirety and replaced with the following:</w:t>
      </w:r>
    </w:p>
    <w:p>
      <w:pPr>
        <w:spacing w:after="0" w:line="243" w:lineRule="exact"/>
        <w:rPr>
          <w:sz w:val="20"/>
          <w:szCs w:val="20"/>
          <w:color w:val="auto"/>
        </w:rPr>
      </w:pPr>
    </w:p>
    <w:p>
      <w:pPr>
        <w:jc w:val="both"/>
        <w:ind w:left="740" w:right="620" w:firstLine="584"/>
        <w:spacing w:after="0" w:line="258" w:lineRule="auto"/>
        <w:rPr>
          <w:sz w:val="20"/>
          <w:szCs w:val="20"/>
          <w:color w:val="auto"/>
        </w:rPr>
      </w:pP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u w:val="single" w:color="auto"/>
          <w:color w:val="auto"/>
        </w:rPr>
        <w:t>Fundamental Transaction</w:t>
      </w:r>
      <w:r>
        <w:rPr>
          <w:rFonts w:ascii="Times New Roman" w:cs="Times New Roman" w:eastAsia="Times New Roman" w:hAnsi="Times New Roman"/>
          <w:sz w:val="19"/>
          <w:szCs w:val="19"/>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w:t>
      </w:r>
    </w:p>
    <w:p>
      <w:pPr>
        <w:spacing w:after="0" w:line="1" w:lineRule="exact"/>
        <w:rPr>
          <w:sz w:val="20"/>
          <w:szCs w:val="20"/>
          <w:color w:val="auto"/>
        </w:rPr>
      </w:pPr>
    </w:p>
    <w:p>
      <w:pPr>
        <w:jc w:val="both"/>
        <w:ind w:left="740" w:right="600" w:hanging="3"/>
        <w:spacing w:after="0" w:line="239" w:lineRule="auto"/>
        <w:tabs>
          <w:tab w:leader="none" w:pos="109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610235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90" w:right="479" w:bottom="1440" w:gutter="0" w:footer="0" w:header="0"/>
        </w:sectPr>
      </w:pPr>
    </w:p>
    <w:bookmarkStart w:id="89" w:name="page90"/>
    <w:bookmarkEnd w:id="89"/>
    <w:p>
      <w:pPr>
        <w:jc w:val="both"/>
        <w:ind w:left="109" w:right="600"/>
        <w:spacing w:after="0"/>
        <w:rPr>
          <w:sz w:val="20"/>
          <w:szCs w:val="20"/>
          <w:color w:val="auto"/>
        </w:rPr>
      </w:pPr>
      <w:r>
        <w:rPr>
          <w:rFonts w:ascii="Times New Roman" w:cs="Times New Roman" w:eastAsia="Times New Roman" w:hAnsi="Times New Roman"/>
          <w:sz w:val="20"/>
          <w:szCs w:val="20"/>
          <w:color w:val="auto"/>
        </w:rPr>
        <w:t>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to the Company, surviving entity or other Person, including any Purchaser of assets of the Company in a Fundamental Transaction in which the Company is not the survivor (the “</w:t>
      </w:r>
      <w:r>
        <w:rPr>
          <w:rFonts w:ascii="Times New Roman" w:cs="Times New Roman" w:eastAsia="Times New Roman" w:hAnsi="Times New Roman"/>
          <w:sz w:val="20"/>
          <w:szCs w:val="20"/>
          <w:u w:val="single" w:color="auto"/>
          <w:color w:val="auto"/>
        </w:rPr>
        <w:t>Successor Entity</w:t>
      </w:r>
      <w:r>
        <w:rPr>
          <w:rFonts w:ascii="Times New Roman" w:cs="Times New Roman" w:eastAsia="Times New Roman" w:hAnsi="Times New Roman"/>
          <w:sz w:val="20"/>
          <w:szCs w:val="20"/>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date of such Fundamental Transaction, the provisions of this Warrant and the other Transaction Documents referring to the “Company” shall refer instead to each of the Company and the Successor Entity or Successor Entities, jointly and severally), and may exercise every right and power of the Company and the Successor Entity or Successor Entities shall assume all of the obligations of the Company under this Warrant and the other Transaction Documents with the same effect as if the Company and such Successor Entity or Successor Entities, jointly and severally, had been named as the Company herein, after which, for the avoidance of doubt, the provisions of this paragraph (e) shall similarly apply to any subsequent Fundamental Transaction.”</w:t>
      </w:r>
    </w:p>
    <w:p>
      <w:pPr>
        <w:spacing w:after="0" w:line="229" w:lineRule="exact"/>
        <w:rPr>
          <w:sz w:val="20"/>
          <w:szCs w:val="20"/>
          <w:color w:val="auto"/>
        </w:rPr>
      </w:pPr>
    </w:p>
    <w:p>
      <w:pPr>
        <w:jc w:val="both"/>
        <w:ind w:left="-631" w:firstLine="631"/>
        <w:spacing w:after="0" w:line="245" w:lineRule="auto"/>
        <w:tabs>
          <w:tab w:leader="none" w:pos="36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MNPI</w:t>
      </w:r>
      <w:r>
        <w:rPr>
          <w:rFonts w:ascii="Times New Roman" w:cs="Times New Roman" w:eastAsia="Times New Roman" w:hAnsi="Times New Roman"/>
          <w:sz w:val="20"/>
          <w:szCs w:val="20"/>
          <w:color w:val="auto"/>
        </w:rPr>
        <w:t>. The Company hereby agrees and acknowledges that the amendment contemplated by this Amendment does not constitute material nonpublic information of the Company or any of its subsidiaries and that the Holder is not subject to any confidentiality or similar obligations under any agreement, whether written or oral, between the Company, any of its subsidiaries or any of their respective officers, directors, affiliates, employees or agents, on the one hand, and the Holder or any of the Holder’s affiliates, on the other hand. The Company understands and confirms that the Holder and its affiliates will rely on the foregoing representations in effecting transactions in securities of the Company.</w:t>
      </w:r>
    </w:p>
    <w:p>
      <w:pPr>
        <w:spacing w:after="0" w:line="197" w:lineRule="exact"/>
        <w:rPr>
          <w:rFonts w:ascii="Times New Roman" w:cs="Times New Roman" w:eastAsia="Times New Roman" w:hAnsi="Times New Roman"/>
          <w:sz w:val="20"/>
          <w:szCs w:val="20"/>
          <w:color w:val="auto"/>
        </w:rPr>
      </w:pPr>
    </w:p>
    <w:p>
      <w:pPr>
        <w:jc w:val="both"/>
        <w:ind w:left="-631" w:right="20" w:firstLine="631"/>
        <w:spacing w:after="0" w:line="254" w:lineRule="auto"/>
        <w:tabs>
          <w:tab w:leader="none" w:pos="36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The Company hereby agrees and acknowledges that the Registration Statement on Form S-3 (File No. 333-286491) remains available after giving effect to this Amendment for the issuance of the shares of Common Stock issuable upon exercise from time to time of the Pre-Funded Warrant without any need to file any amendment or supplement thereto.</w:t>
      </w:r>
    </w:p>
    <w:p>
      <w:pPr>
        <w:spacing w:after="0" w:line="187" w:lineRule="exact"/>
        <w:rPr>
          <w:rFonts w:ascii="Times New Roman" w:cs="Times New Roman" w:eastAsia="Times New Roman" w:hAnsi="Times New Roman"/>
          <w:sz w:val="20"/>
          <w:szCs w:val="20"/>
          <w:color w:val="auto"/>
        </w:rPr>
      </w:pPr>
    </w:p>
    <w:p>
      <w:pPr>
        <w:jc w:val="both"/>
        <w:ind w:left="-631" w:right="20" w:firstLine="631"/>
        <w:spacing w:after="0" w:line="254" w:lineRule="auto"/>
        <w:tabs>
          <w:tab w:leader="none" w:pos="36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hereto, without additional consideration, shall cooperate, shall take such further action and shall execute and deliver such further documents as may be reasonably requested by the other Party hereto in order to carry out the provisions and purposes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549910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9"/>
          </w:cols>
          <w:pgMar w:left="971" w:top="1008" w:right="479" w:bottom="1440" w:gutter="0" w:footer="0" w:header="0"/>
        </w:sectPr>
      </w:pPr>
    </w:p>
    <w:bookmarkStart w:id="90" w:name="page91"/>
    <w:bookmarkEnd w:id="90"/>
    <w:p>
      <w:pPr>
        <w:jc w:val="both"/>
        <w:ind w:left="-140" w:right="20" w:firstLine="631"/>
        <w:spacing w:after="0" w:line="249" w:lineRule="auto"/>
        <w:tabs>
          <w:tab w:leader="none" w:pos="85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signed in counterparts with the same effect as if the signature on each counterpart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93" w:lineRule="exact"/>
        <w:rPr>
          <w:rFonts w:ascii="Times New Roman" w:cs="Times New Roman" w:eastAsia="Times New Roman" w:hAnsi="Times New Roman"/>
          <w:sz w:val="20"/>
          <w:szCs w:val="20"/>
          <w:color w:val="auto"/>
        </w:rPr>
      </w:pPr>
    </w:p>
    <w:p>
      <w:pPr>
        <w:ind w:left="-140" w:right="20" w:firstLine="631"/>
        <w:spacing w:after="0" w:line="269" w:lineRule="auto"/>
        <w:tabs>
          <w:tab w:leader="none" w:pos="85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Articles and Sections in this Amendment are provided for convenience only and will not affect its construction or interpretation.</w:t>
      </w:r>
    </w:p>
    <w:p>
      <w:pPr>
        <w:spacing w:after="0" w:line="172" w:lineRule="exact"/>
        <w:rPr>
          <w:rFonts w:ascii="Times New Roman" w:cs="Times New Roman" w:eastAsia="Times New Roman" w:hAnsi="Times New Roman"/>
          <w:sz w:val="20"/>
          <w:szCs w:val="20"/>
          <w:color w:val="auto"/>
        </w:rPr>
      </w:pPr>
    </w:p>
    <w:p>
      <w:pPr>
        <w:jc w:val="both"/>
        <w:ind w:left="-140" w:right="20" w:firstLine="631"/>
        <w:spacing w:after="0" w:line="254" w:lineRule="auto"/>
        <w:tabs>
          <w:tab w:leader="none" w:pos="85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Neither any failure nor any delay by any party in exercising any right, power or privilege under this Amendment or any of the documents referred to in this Amendment will operate as a waiver of such right, power or privilege, and no single or partial exercise of any such right, power or privilege will preclude any other or further exercise of such right, power or privilege.</w:t>
      </w:r>
    </w:p>
    <w:p>
      <w:pPr>
        <w:spacing w:after="0" w:line="187" w:lineRule="exact"/>
        <w:rPr>
          <w:rFonts w:ascii="Times New Roman" w:cs="Times New Roman" w:eastAsia="Times New Roman" w:hAnsi="Times New Roman"/>
          <w:sz w:val="20"/>
          <w:szCs w:val="20"/>
          <w:color w:val="auto"/>
        </w:rPr>
      </w:pPr>
    </w:p>
    <w:p>
      <w:pPr>
        <w:jc w:val="both"/>
        <w:ind w:left="-140" w:firstLine="631"/>
        <w:spacing w:after="0" w:line="245" w:lineRule="auto"/>
        <w:tabs>
          <w:tab w:leader="none" w:pos="85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Amendment pursuant to any applicable law shall not affect the validity of the remaining provisions hereof, but this Amendment shall be construed as if not containing the provision held invalid or unenforceable in the jurisdiction in which so held, and the remaining provisions of this Amendment shall remain in full force and effect. If the Amendment may not be effectively construed as if not containing the provision held invalid or unenforceable, then the provision contained herein that is held invalid or unenforceable shall be reformed so that it meets such requirements as to make it valid or enforceable.</w:t>
      </w:r>
    </w:p>
    <w:p>
      <w:pPr>
        <w:spacing w:after="0" w:line="49" w:lineRule="exact"/>
        <w:rPr>
          <w:rFonts w:ascii="Times New Roman" w:cs="Times New Roman" w:eastAsia="Times New Roman" w:hAnsi="Times New Roman"/>
          <w:sz w:val="20"/>
          <w:szCs w:val="20"/>
          <w:color w:val="auto"/>
        </w:rPr>
      </w:pPr>
    </w:p>
    <w:p>
      <w:pPr>
        <w:ind w:left="-140" w:right="20" w:firstLine="631"/>
        <w:spacing w:after="0" w:line="269" w:lineRule="auto"/>
        <w:tabs>
          <w:tab w:leader="none" w:pos="85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All questions concerning the construction, validity, enforcement and interpretation of this Amendment shall be determined in accordance with the provisions of the Pre-Funded Warrant.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575945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37" w:right="479" w:bottom="1440" w:gutter="0" w:footer="0" w:header="0"/>
        </w:sectPr>
      </w:pPr>
    </w:p>
    <w:bookmarkStart w:id="91" w:name="page92"/>
    <w:bookmarkEnd w:id="91"/>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No. 1 to Pre-Funded Warrant to be duly executed with effect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Q32 BIO INC.</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Name:</w:t>
      </w:r>
    </w:p>
    <w:p>
      <w:pPr>
        <w:ind w:left="518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[_____]</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75" w:right="4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Jodie Morrison,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Q32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00" w:val="left"/>
          <w:tab w:leader="none" w:pos="80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Jodie Morrison</w:t>
      </w:r>
    </w:p>
    <w:p>
      <w:pPr>
        <w:spacing w:after="0" w:line="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Kalowski,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Q32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00" w:val="left"/>
          <w:tab w:leader="none" w:pos="812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Lee Kalowski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Lee Kalowski</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Chief Financial Officer and President</w:t>
      </w:r>
    </w:p>
    <w:p>
      <w:pPr>
        <w:spacing w:after="0" w:line="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Jodie Morrison, Chief Executive Officer of Q32 Bio, Inc. (the “Company”), hereby certify, pursuant to 18 U.S.C. §1350, as adopted pursuant to §906 of the Sarbanes-Oxley Act of 2002, that, to the best of my knowledge:</w:t>
      </w:r>
    </w:p>
    <w:p>
      <w:pPr>
        <w:spacing w:after="0" w:line="54" w:lineRule="exact"/>
        <w:rPr>
          <w:sz w:val="20"/>
          <w:szCs w:val="20"/>
          <w:color w:val="auto"/>
        </w:rPr>
      </w:pPr>
    </w:p>
    <w:p>
      <w:pPr>
        <w:ind w:left="1020" w:right="340" w:hanging="479"/>
        <w:spacing w:after="0" w:line="282"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220" w:val="left"/>
          <w:tab w:leader="none" w:pos="7780" w:val="left"/>
        </w:tabs>
        <w:rPr>
          <w:sz w:val="20"/>
          <w:szCs w:val="20"/>
          <w:color w:val="auto"/>
        </w:rPr>
      </w:pP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Jodie Morrison</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Lee Kalowski, Chief Financial Officer of Q32 Bio, Inc. (the “Company”), hereby certify, pursuant to 18 U.S.C. §1350, as adopted pursuant to §906 of the Sarbanes-Oxley Act of 2002, that, to the best of my knowledge:</w:t>
      </w:r>
    </w:p>
    <w:p>
      <w:pPr>
        <w:spacing w:after="0" w:line="54" w:lineRule="exact"/>
        <w:rPr>
          <w:sz w:val="20"/>
          <w:szCs w:val="20"/>
          <w:color w:val="auto"/>
        </w:rPr>
      </w:pPr>
    </w:p>
    <w:p>
      <w:pPr>
        <w:ind w:left="1020" w:right="340" w:hanging="479"/>
        <w:spacing w:after="0" w:line="282" w:lineRule="auto"/>
        <w:tabs>
          <w:tab w:leader="none" w:pos="8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220" w:val="left"/>
          <w:tab w:leader="none" w:pos="7820" w:val="left"/>
        </w:tabs>
        <w:rPr>
          <w:sz w:val="20"/>
          <w:szCs w:val="20"/>
          <w:color w:val="auto"/>
        </w:rPr>
      </w:pP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Lee Kalowski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Lee Kalowski</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and President</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decimal"/>
      <w:start w:val="11"/>
    </w:lvl>
  </w:abstractNum>
  <w:abstractNum w:abstractNumId="7">
    <w:nsid w:val="B03E0C6"/>
    <w:multiLevelType w:val="hybridMultilevel"/>
    <w:lvl w:ilvl="0">
      <w:lvlJc w:val="left"/>
      <w:lvlText w:val="%1."/>
      <w:numFmt w:val="decimal"/>
      <w:start w:val="13"/>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lvl w:ilvl="1">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Roman"/>
      <w:start w:val="3"/>
    </w:lvl>
  </w:abstractNum>
  <w:abstractNum w:abstractNumId="38">
    <w:nsid w:val="3855585C"/>
    <w:multiLevelType w:val="hybridMultilevel"/>
    <w:lvl w:ilvl="0">
      <w:lvlJc w:val="left"/>
      <w:lvlText w:val="%1."/>
      <w:numFmt w:val="decimal"/>
      <w:start w:val="3"/>
    </w:lvl>
  </w:abstractNum>
  <w:abstractNum w:abstractNumId="39">
    <w:nsid w:val="70A64E2A"/>
    <w:multiLevelType w:val="hybridMultilevel"/>
    <w:lvl w:ilvl="0">
      <w:lvlJc w:val="left"/>
      <w:lvlText w:val="%1."/>
      <w:numFmt w:val="decimal"/>
      <w:start w:val="6"/>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48" Type="http://schemas.openxmlformats.org/officeDocument/2006/relationships/hyperlink" Target="https://www.sec.gov/Archives/edgar/data/1661998/000119312523296880/d938280dex21.htm" TargetMode="External"/><Relationship Id="rId249" Type="http://schemas.openxmlformats.org/officeDocument/2006/relationships/hyperlink" Target="https://www.sec.gov/Archives/edgar/data/1661998/000119312518106196/d535307dex31.htm" TargetMode="External"/><Relationship Id="rId250" Type="http://schemas.openxmlformats.org/officeDocument/2006/relationships/hyperlink" Target="https://www.sec.gov/Archives/edgar/data/1661998/000119312524077930/d811189dex31.htm" TargetMode="External"/><Relationship Id="rId251" Type="http://schemas.openxmlformats.org/officeDocument/2006/relationships/hyperlink" Target="https://www.sec.gov/Archives/edgar/data/1661998/000119312524077930/d811189dex32.htm" TargetMode="External"/><Relationship Id="rId252" Type="http://schemas.openxmlformats.org/officeDocument/2006/relationships/hyperlink" Target="https://www.sec.gov/Archives/edgar/data/1661998/000119312525142039/d936533dex31.htm" TargetMode="External"/><Relationship Id="rId253" Type="http://schemas.openxmlformats.org/officeDocument/2006/relationships/hyperlink" Target="https://www.sec.gov/Archives/edgar/data/1661998/000119312520321448/d69248dex31.htm" TargetMode="External"/><Relationship Id="rId254" Type="http://schemas.openxmlformats.org/officeDocument/2006/relationships/hyperlink" Target="https://www.sec.gov/Archives/edgar/data/1661998/000119312526129431/d129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2026-05-05T06:18:08Z</dcterms:created>
  <dcterms:modified xsi:type="dcterms:W3CDTF">2026-05-05T06:18:08Z</dcterms:modified>
</cp:coreProperties>
</file>